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3EC" w:rsidRDefault="00F143EC" w:rsidP="00F143EC">
      <w:pPr>
        <w:rPr>
          <w:b/>
          <w:sz w:val="32"/>
          <w:szCs w:val="32"/>
        </w:rPr>
      </w:pPr>
      <w:smartTag w:uri="urn:schemas-microsoft-com:office:smarttags" w:element="place">
        <w:smartTag w:uri="urn:schemas-microsoft-com:office:smarttags" w:element="PlaceName">
          <w:r>
            <w:rPr>
              <w:b/>
              <w:sz w:val="32"/>
              <w:szCs w:val="32"/>
            </w:rPr>
            <w:t>Lee</w:t>
          </w:r>
        </w:smartTag>
        <w:r>
          <w:rPr>
            <w:b/>
            <w:sz w:val="32"/>
            <w:szCs w:val="32"/>
          </w:rPr>
          <w:t xml:space="preserve"> </w:t>
        </w:r>
        <w:smartTag w:uri="urn:schemas-microsoft-com:office:smarttags" w:element="PlaceName">
          <w:r>
            <w:rPr>
              <w:b/>
              <w:sz w:val="32"/>
              <w:szCs w:val="32"/>
            </w:rPr>
            <w:t>County</w:t>
          </w:r>
        </w:smartTag>
        <w:r>
          <w:rPr>
            <w:b/>
            <w:sz w:val="32"/>
            <w:szCs w:val="32"/>
          </w:rPr>
          <w:t xml:space="preserve"> </w:t>
        </w:r>
        <w:smartTag w:uri="urn:schemas-microsoft-com:office:smarttags" w:element="PlaceName">
          <w:r>
            <w:rPr>
              <w:b/>
              <w:sz w:val="32"/>
              <w:szCs w:val="32"/>
            </w:rPr>
            <w:t>Middle</w:t>
          </w:r>
        </w:smartTag>
        <w:r>
          <w:rPr>
            <w:b/>
            <w:sz w:val="32"/>
            <w:szCs w:val="32"/>
          </w:rPr>
          <w:t xml:space="preserve"> </w:t>
        </w:r>
        <w:smartTag w:uri="urn:schemas-microsoft-com:office:smarttags" w:element="PlaceType">
          <w:r>
            <w:rPr>
              <w:b/>
              <w:sz w:val="32"/>
              <w:szCs w:val="32"/>
            </w:rPr>
            <w:t>High School</w:t>
          </w:r>
        </w:smartTag>
      </w:smartTag>
      <w:r>
        <w:rPr>
          <w:b/>
          <w:sz w:val="32"/>
          <w:szCs w:val="32"/>
        </w:rPr>
        <w:t xml:space="preserve"> Student Engagement Theory of Action</w:t>
      </w:r>
    </w:p>
    <w:p w:rsidR="00F143EC" w:rsidRDefault="00F143EC" w:rsidP="00F143E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866"/>
        <w:gridCol w:w="1860"/>
        <w:gridCol w:w="1757"/>
        <w:gridCol w:w="1792"/>
        <w:gridCol w:w="3553"/>
      </w:tblGrid>
      <w:tr w:rsidR="00F143EC" w:rsidTr="00F143EC">
        <w:tc>
          <w:tcPr>
            <w:tcW w:w="14390" w:type="dxa"/>
            <w:gridSpan w:val="6"/>
            <w:tcBorders>
              <w:top w:val="single" w:sz="4" w:space="0" w:color="auto"/>
              <w:left w:val="single" w:sz="4" w:space="0" w:color="auto"/>
              <w:bottom w:val="single" w:sz="4" w:space="0" w:color="auto"/>
              <w:right w:val="single" w:sz="4" w:space="0" w:color="auto"/>
            </w:tcBorders>
            <w:hideMark/>
          </w:tcPr>
          <w:p w:rsidR="00F143EC" w:rsidRDefault="00F143EC">
            <w:pPr>
              <w:rPr>
                <w:rFonts w:ascii="Arial" w:hAnsi="Arial" w:cs="Arial"/>
                <w:b/>
              </w:rPr>
            </w:pPr>
            <w:r>
              <w:rPr>
                <w:rFonts w:ascii="Arial" w:hAnsi="Arial" w:cs="Arial"/>
                <w:b/>
                <w:sz w:val="22"/>
                <w:szCs w:val="22"/>
              </w:rPr>
              <w:t xml:space="preserve">Problem of Practice Statement: </w:t>
            </w:r>
            <w:smartTag w:uri="urn:schemas-microsoft-com:office:smarttags" w:element="PlaceType">
              <w:smartTag w:uri="urn:schemas-microsoft-com:office:smarttags" w:element="PlaceType">
                <w:r>
                  <w:rPr>
                    <w:rFonts w:ascii="Arial" w:hAnsi="Arial" w:cs="Arial"/>
                    <w:b/>
                    <w:sz w:val="22"/>
                    <w:szCs w:val="22"/>
                  </w:rPr>
                  <w:t>Lee</w:t>
                </w:r>
              </w:smartTag>
              <w:r>
                <w:rPr>
                  <w:rFonts w:ascii="Arial" w:hAnsi="Arial" w:cs="Arial"/>
                  <w:b/>
                  <w:sz w:val="22"/>
                  <w:szCs w:val="22"/>
                </w:rPr>
                <w:t xml:space="preserve"> </w:t>
              </w:r>
              <w:smartTag w:uri="urn:schemas-microsoft-com:office:smarttags" w:element="PlaceType">
                <w:r>
                  <w:rPr>
                    <w:rFonts w:ascii="Arial" w:hAnsi="Arial" w:cs="Arial"/>
                    <w:b/>
                    <w:sz w:val="22"/>
                    <w:szCs w:val="22"/>
                  </w:rPr>
                  <w:t>County</w:t>
                </w:r>
              </w:smartTag>
              <w:r>
                <w:rPr>
                  <w:rFonts w:ascii="Arial" w:hAnsi="Arial" w:cs="Arial"/>
                  <w:b/>
                  <w:sz w:val="22"/>
                  <w:szCs w:val="22"/>
                </w:rPr>
                <w:t xml:space="preserve"> </w:t>
              </w:r>
              <w:smartTag w:uri="urn:schemas-microsoft-com:office:smarttags" w:element="PlaceType">
                <w:r>
                  <w:rPr>
                    <w:rFonts w:ascii="Arial" w:hAnsi="Arial" w:cs="Arial"/>
                    <w:b/>
                    <w:sz w:val="22"/>
                    <w:szCs w:val="22"/>
                  </w:rPr>
                  <w:t>Middle</w:t>
                </w:r>
              </w:smartTag>
              <w:r>
                <w:rPr>
                  <w:rFonts w:ascii="Arial" w:hAnsi="Arial" w:cs="Arial"/>
                  <w:b/>
                  <w:sz w:val="22"/>
                  <w:szCs w:val="22"/>
                </w:rPr>
                <w:t xml:space="preserve"> </w:t>
              </w:r>
              <w:smartTag w:uri="urn:schemas-microsoft-com:office:smarttags" w:element="PlaceType">
                <w:r>
                  <w:rPr>
                    <w:rFonts w:ascii="Arial" w:hAnsi="Arial" w:cs="Arial"/>
                    <w:b/>
                    <w:sz w:val="22"/>
                    <w:szCs w:val="22"/>
                  </w:rPr>
                  <w:t>High School</w:t>
                </w:r>
              </w:smartTag>
            </w:smartTag>
            <w:r>
              <w:rPr>
                <w:rFonts w:ascii="Arial" w:hAnsi="Arial" w:cs="Arial"/>
                <w:b/>
                <w:sz w:val="22"/>
                <w:szCs w:val="22"/>
              </w:rPr>
              <w:t xml:space="preserve"> does not have a school wide system in place to implement instructional strategies consistently and effectively to enhance student engagement.  We will develop and publish an instructional playbook consisting of high yield strategies that are challenging and supports student achievement across the curriculum.</w:t>
            </w:r>
          </w:p>
        </w:tc>
      </w:tr>
      <w:tr w:rsidR="00F143EC" w:rsidTr="00F143EC">
        <w:tc>
          <w:tcPr>
            <w:tcW w:w="2583" w:type="dxa"/>
            <w:tcBorders>
              <w:top w:val="single" w:sz="4" w:space="0" w:color="auto"/>
              <w:left w:val="single" w:sz="4" w:space="0" w:color="auto"/>
              <w:bottom w:val="single" w:sz="4" w:space="0" w:color="auto"/>
              <w:right w:val="single" w:sz="4" w:space="0" w:color="auto"/>
            </w:tcBorders>
            <w:hideMark/>
          </w:tcPr>
          <w:p w:rsidR="00F143EC" w:rsidRDefault="00F143EC">
            <w:pPr>
              <w:jc w:val="center"/>
              <w:rPr>
                <w:rFonts w:ascii="Arial" w:hAnsi="Arial" w:cs="Arial"/>
                <w:b/>
              </w:rPr>
            </w:pPr>
            <w:r>
              <w:rPr>
                <w:rFonts w:ascii="Arial" w:hAnsi="Arial" w:cs="Arial"/>
                <w:b/>
                <w:sz w:val="22"/>
                <w:szCs w:val="22"/>
              </w:rPr>
              <w:t>Inputs</w:t>
            </w:r>
          </w:p>
        </w:tc>
        <w:tc>
          <w:tcPr>
            <w:tcW w:w="8254" w:type="dxa"/>
            <w:gridSpan w:val="4"/>
            <w:tcBorders>
              <w:top w:val="single" w:sz="4" w:space="0" w:color="auto"/>
              <w:left w:val="single" w:sz="4" w:space="0" w:color="auto"/>
              <w:bottom w:val="single" w:sz="4" w:space="0" w:color="auto"/>
              <w:right w:val="single" w:sz="4" w:space="0" w:color="auto"/>
            </w:tcBorders>
            <w:hideMark/>
          </w:tcPr>
          <w:p w:rsidR="00F143EC" w:rsidRDefault="00F143EC">
            <w:pPr>
              <w:jc w:val="center"/>
              <w:rPr>
                <w:rFonts w:ascii="Arial" w:hAnsi="Arial" w:cs="Arial"/>
                <w:b/>
              </w:rPr>
            </w:pPr>
            <w:r>
              <w:rPr>
                <w:rFonts w:ascii="Arial" w:hAnsi="Arial" w:cs="Arial"/>
                <w:b/>
                <w:sz w:val="22"/>
                <w:szCs w:val="22"/>
              </w:rPr>
              <w:t>Levers</w:t>
            </w:r>
          </w:p>
        </w:tc>
        <w:tc>
          <w:tcPr>
            <w:tcW w:w="3553" w:type="dxa"/>
            <w:tcBorders>
              <w:top w:val="single" w:sz="4" w:space="0" w:color="auto"/>
              <w:left w:val="single" w:sz="4" w:space="0" w:color="auto"/>
              <w:bottom w:val="single" w:sz="4" w:space="0" w:color="auto"/>
              <w:right w:val="single" w:sz="4" w:space="0" w:color="auto"/>
            </w:tcBorders>
            <w:hideMark/>
          </w:tcPr>
          <w:p w:rsidR="00F143EC" w:rsidRDefault="00F143EC">
            <w:pPr>
              <w:jc w:val="center"/>
              <w:rPr>
                <w:rFonts w:ascii="Arial" w:hAnsi="Arial" w:cs="Arial"/>
                <w:b/>
              </w:rPr>
            </w:pPr>
            <w:r>
              <w:rPr>
                <w:rFonts w:ascii="Arial" w:hAnsi="Arial" w:cs="Arial"/>
                <w:b/>
              </w:rPr>
              <w:t>Outcomes</w:t>
            </w:r>
          </w:p>
        </w:tc>
      </w:tr>
      <w:tr w:rsidR="00F143EC" w:rsidTr="00F143EC">
        <w:tc>
          <w:tcPr>
            <w:tcW w:w="2583" w:type="dxa"/>
            <w:tcBorders>
              <w:top w:val="single" w:sz="4" w:space="0" w:color="auto"/>
              <w:left w:val="single" w:sz="4" w:space="0" w:color="auto"/>
              <w:bottom w:val="single" w:sz="4" w:space="0" w:color="auto"/>
              <w:right w:val="single" w:sz="4" w:space="0" w:color="auto"/>
            </w:tcBorders>
            <w:hideMark/>
          </w:tcPr>
          <w:p w:rsidR="00F143EC" w:rsidRDefault="00F143EC">
            <w:pPr>
              <w:rPr>
                <w:rFonts w:ascii="Arial" w:hAnsi="Arial" w:cs="Arial"/>
                <w:b/>
              </w:rPr>
            </w:pPr>
            <w:r>
              <w:rPr>
                <w:rFonts w:ascii="Arial" w:hAnsi="Arial" w:cs="Arial"/>
                <w:b/>
                <w:sz w:val="22"/>
                <w:szCs w:val="22"/>
              </w:rPr>
              <w:t>(Existing resources, strategies, talents, conditions)</w:t>
            </w:r>
          </w:p>
        </w:tc>
        <w:tc>
          <w:tcPr>
            <w:tcW w:w="2183" w:type="dxa"/>
            <w:tcBorders>
              <w:top w:val="single" w:sz="4" w:space="0" w:color="auto"/>
              <w:left w:val="single" w:sz="4" w:space="0" w:color="auto"/>
              <w:bottom w:val="single" w:sz="4" w:space="0" w:color="auto"/>
              <w:right w:val="single" w:sz="4" w:space="0" w:color="auto"/>
            </w:tcBorders>
            <w:hideMark/>
          </w:tcPr>
          <w:p w:rsidR="00F143EC" w:rsidRDefault="00F143EC">
            <w:pPr>
              <w:jc w:val="center"/>
              <w:rPr>
                <w:rFonts w:ascii="Arial" w:hAnsi="Arial" w:cs="Arial"/>
                <w:b/>
              </w:rPr>
            </w:pPr>
            <w:r>
              <w:rPr>
                <w:rFonts w:ascii="Arial" w:hAnsi="Arial" w:cs="Arial"/>
                <w:b/>
                <w:sz w:val="22"/>
                <w:szCs w:val="22"/>
              </w:rPr>
              <w:t>Community Partners</w:t>
            </w:r>
          </w:p>
        </w:tc>
        <w:tc>
          <w:tcPr>
            <w:tcW w:w="2075" w:type="dxa"/>
            <w:tcBorders>
              <w:top w:val="single" w:sz="4" w:space="0" w:color="auto"/>
              <w:left w:val="single" w:sz="4" w:space="0" w:color="auto"/>
              <w:bottom w:val="single" w:sz="4" w:space="0" w:color="auto"/>
              <w:right w:val="single" w:sz="4" w:space="0" w:color="auto"/>
            </w:tcBorders>
            <w:hideMark/>
          </w:tcPr>
          <w:p w:rsidR="00F143EC" w:rsidRDefault="00F143EC">
            <w:pPr>
              <w:jc w:val="center"/>
              <w:rPr>
                <w:rFonts w:ascii="Arial" w:hAnsi="Arial" w:cs="Arial"/>
                <w:b/>
              </w:rPr>
            </w:pPr>
            <w:r>
              <w:rPr>
                <w:rFonts w:ascii="Arial" w:hAnsi="Arial" w:cs="Arial"/>
                <w:b/>
                <w:sz w:val="22"/>
                <w:szCs w:val="22"/>
              </w:rPr>
              <w:t>District</w:t>
            </w:r>
          </w:p>
        </w:tc>
        <w:tc>
          <w:tcPr>
            <w:tcW w:w="2003" w:type="dxa"/>
            <w:tcBorders>
              <w:top w:val="single" w:sz="4" w:space="0" w:color="auto"/>
              <w:left w:val="single" w:sz="4" w:space="0" w:color="auto"/>
              <w:bottom w:val="single" w:sz="4" w:space="0" w:color="auto"/>
              <w:right w:val="single" w:sz="4" w:space="0" w:color="auto"/>
            </w:tcBorders>
            <w:hideMark/>
          </w:tcPr>
          <w:p w:rsidR="00F143EC" w:rsidRDefault="00F143EC">
            <w:pPr>
              <w:jc w:val="center"/>
              <w:rPr>
                <w:rFonts w:ascii="Arial" w:hAnsi="Arial" w:cs="Arial"/>
                <w:b/>
              </w:rPr>
            </w:pPr>
            <w:r>
              <w:rPr>
                <w:rFonts w:ascii="Arial" w:hAnsi="Arial" w:cs="Arial"/>
                <w:b/>
                <w:sz w:val="22"/>
                <w:szCs w:val="22"/>
              </w:rPr>
              <w:t>Principals</w:t>
            </w:r>
          </w:p>
        </w:tc>
        <w:tc>
          <w:tcPr>
            <w:tcW w:w="1993" w:type="dxa"/>
            <w:tcBorders>
              <w:top w:val="single" w:sz="4" w:space="0" w:color="auto"/>
              <w:left w:val="single" w:sz="4" w:space="0" w:color="auto"/>
              <w:bottom w:val="single" w:sz="4" w:space="0" w:color="auto"/>
              <w:right w:val="single" w:sz="4" w:space="0" w:color="auto"/>
            </w:tcBorders>
            <w:hideMark/>
          </w:tcPr>
          <w:p w:rsidR="00F143EC" w:rsidRDefault="00F143EC">
            <w:pPr>
              <w:jc w:val="center"/>
              <w:rPr>
                <w:rFonts w:ascii="Arial" w:hAnsi="Arial" w:cs="Arial"/>
                <w:b/>
              </w:rPr>
            </w:pPr>
            <w:r>
              <w:rPr>
                <w:rFonts w:ascii="Arial" w:hAnsi="Arial" w:cs="Arial"/>
                <w:b/>
                <w:sz w:val="22"/>
                <w:szCs w:val="22"/>
              </w:rPr>
              <w:t>Teacher</w:t>
            </w:r>
          </w:p>
        </w:tc>
        <w:tc>
          <w:tcPr>
            <w:tcW w:w="3553" w:type="dxa"/>
            <w:vMerge w:val="restart"/>
            <w:tcBorders>
              <w:top w:val="single" w:sz="4" w:space="0" w:color="auto"/>
              <w:left w:val="single" w:sz="4" w:space="0" w:color="auto"/>
              <w:bottom w:val="single" w:sz="4" w:space="0" w:color="auto"/>
              <w:right w:val="single" w:sz="4" w:space="0" w:color="auto"/>
            </w:tcBorders>
          </w:tcPr>
          <w:p w:rsidR="00F143EC" w:rsidRDefault="00F143EC">
            <w:pPr>
              <w:jc w:val="center"/>
              <w:rPr>
                <w:rFonts w:ascii="Arial" w:hAnsi="Arial" w:cs="Arial"/>
                <w:b/>
              </w:rPr>
            </w:pPr>
            <w:r>
              <w:rPr>
                <w:rFonts w:ascii="Arial" w:hAnsi="Arial" w:cs="Arial"/>
                <w:b/>
              </w:rPr>
              <w:t>Short Term</w:t>
            </w:r>
          </w:p>
          <w:p w:rsidR="00F143EC" w:rsidRDefault="00F143EC">
            <w:pPr>
              <w:rPr>
                <w:rFonts w:ascii="Arial" w:hAnsi="Arial" w:cs="Arial"/>
                <w:b/>
              </w:rPr>
            </w:pPr>
            <w:r>
              <w:rPr>
                <w:rFonts w:ascii="Arial" w:hAnsi="Arial" w:cs="Arial"/>
                <w:b/>
              </w:rPr>
              <w:t>School wide implementation of high yield strategies.</w:t>
            </w:r>
          </w:p>
          <w:p w:rsidR="00F143EC" w:rsidRDefault="00F143EC">
            <w:pPr>
              <w:rPr>
                <w:rFonts w:ascii="Arial" w:hAnsi="Arial" w:cs="Arial"/>
                <w:b/>
              </w:rPr>
            </w:pPr>
          </w:p>
          <w:p w:rsidR="00F143EC" w:rsidRDefault="00F143EC">
            <w:pPr>
              <w:rPr>
                <w:rFonts w:ascii="Arial" w:hAnsi="Arial" w:cs="Arial"/>
                <w:b/>
              </w:rPr>
            </w:pPr>
            <w:r>
              <w:rPr>
                <w:rFonts w:ascii="Arial" w:hAnsi="Arial" w:cs="Arial"/>
                <w:b/>
              </w:rPr>
              <w:t>Notable increase in student engagement from multiple observation instruments.</w:t>
            </w:r>
          </w:p>
          <w:p w:rsidR="00F143EC" w:rsidRDefault="00F143EC">
            <w:pPr>
              <w:rPr>
                <w:rFonts w:ascii="Arial" w:hAnsi="Arial" w:cs="Arial"/>
                <w:b/>
              </w:rPr>
            </w:pPr>
          </w:p>
          <w:p w:rsidR="00F143EC" w:rsidRDefault="00F143EC">
            <w:pPr>
              <w:rPr>
                <w:rFonts w:ascii="Arial" w:hAnsi="Arial" w:cs="Arial"/>
                <w:b/>
              </w:rPr>
            </w:pPr>
          </w:p>
          <w:p w:rsidR="00F143EC" w:rsidRDefault="00F143EC">
            <w:pPr>
              <w:rPr>
                <w:rFonts w:ascii="Arial" w:hAnsi="Arial" w:cs="Arial"/>
                <w:b/>
              </w:rPr>
            </w:pPr>
          </w:p>
          <w:p w:rsidR="00F143EC" w:rsidRDefault="00F143EC">
            <w:pPr>
              <w:rPr>
                <w:rFonts w:ascii="Arial" w:hAnsi="Arial" w:cs="Arial"/>
                <w:b/>
              </w:rPr>
            </w:pPr>
          </w:p>
          <w:p w:rsidR="00F143EC" w:rsidRDefault="00F143EC">
            <w:pPr>
              <w:rPr>
                <w:rFonts w:ascii="Arial" w:hAnsi="Arial" w:cs="Arial"/>
                <w:b/>
              </w:rPr>
            </w:pPr>
          </w:p>
          <w:p w:rsidR="00F143EC" w:rsidRDefault="00F143EC">
            <w:pPr>
              <w:rPr>
                <w:rFonts w:ascii="Arial" w:hAnsi="Arial" w:cs="Arial"/>
                <w:b/>
              </w:rPr>
            </w:pPr>
          </w:p>
          <w:p w:rsidR="00F143EC" w:rsidRDefault="00F143EC">
            <w:pPr>
              <w:rPr>
                <w:rFonts w:ascii="Arial" w:hAnsi="Arial" w:cs="Arial"/>
                <w:b/>
              </w:rPr>
            </w:pPr>
          </w:p>
          <w:p w:rsidR="00F143EC" w:rsidRDefault="00F143EC">
            <w:pPr>
              <w:rPr>
                <w:rFonts w:ascii="Arial" w:hAnsi="Arial" w:cs="Arial"/>
                <w:b/>
              </w:rPr>
            </w:pPr>
            <w:r>
              <w:rPr>
                <w:rFonts w:ascii="Arial" w:hAnsi="Arial" w:cs="Arial"/>
                <w:b/>
              </w:rPr>
              <w:t>_________________________</w:t>
            </w:r>
          </w:p>
          <w:p w:rsidR="00F143EC" w:rsidRDefault="00F143EC">
            <w:pPr>
              <w:rPr>
                <w:rFonts w:ascii="Arial" w:hAnsi="Arial" w:cs="Arial"/>
                <w:b/>
              </w:rPr>
            </w:pPr>
            <w:r>
              <w:rPr>
                <w:noProof/>
              </w:rPr>
              <mc:AlternateContent>
                <mc:Choice Requires="wps">
                  <w:drawing>
                    <wp:anchor distT="0" distB="0" distL="114300" distR="114300" simplePos="0" relativeHeight="251662848" behindDoc="0" locked="0" layoutInCell="1" allowOverlap="1">
                      <wp:simplePos x="0" y="0"/>
                      <wp:positionH relativeFrom="column">
                        <wp:posOffset>-8890</wp:posOffset>
                      </wp:positionH>
                      <wp:positionV relativeFrom="paragraph">
                        <wp:posOffset>72390</wp:posOffset>
                      </wp:positionV>
                      <wp:extent cx="391795" cy="337820"/>
                      <wp:effectExtent l="67310" t="62865" r="74295" b="56515"/>
                      <wp:wrapThrough wrapText="bothSides">
                        <wp:wrapPolygon edited="0">
                          <wp:start x="5687136" y="-391886"/>
                          <wp:lineTo x="334537" y="3526971"/>
                          <wp:lineTo x="-1003612" y="5094514"/>
                          <wp:lineTo x="2007225" y="12148457"/>
                          <wp:lineTo x="1672687" y="13716000"/>
                          <wp:lineTo x="11708775" y="13716000"/>
                          <wp:lineTo x="11708775" y="12148457"/>
                          <wp:lineTo x="14719612" y="5486400"/>
                          <wp:lineTo x="13716000" y="4310743"/>
                          <wp:lineTo x="7694326" y="-391886"/>
                          <wp:lineTo x="5687136" y="-391886"/>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795" cy="337820"/>
                              </a:xfrm>
                              <a:custGeom>
                                <a:avLst/>
                                <a:gdLst>
                                  <a:gd name="T0" fmla="*/ 0 w 391795"/>
                                  <a:gd name="T1" fmla="*/ 129035 h 337820"/>
                                  <a:gd name="T2" fmla="*/ 157794 w 391795"/>
                                  <a:gd name="T3" fmla="*/ 139195 h 337820"/>
                                  <a:gd name="T4" fmla="*/ 195898 w 391795"/>
                                  <a:gd name="T5" fmla="*/ 0 h 337820"/>
                                  <a:gd name="T6" fmla="*/ 234001 w 391795"/>
                                  <a:gd name="T7" fmla="*/ 139195 h 337820"/>
                                  <a:gd name="T8" fmla="*/ 391795 w 391795"/>
                                  <a:gd name="T9" fmla="*/ 129035 h 337820"/>
                                  <a:gd name="T10" fmla="*/ 257550 w 391795"/>
                                  <a:gd name="T11" fmla="*/ 204903 h 337820"/>
                                  <a:gd name="T12" fmla="*/ 316969 w 391795"/>
                                  <a:gd name="T13" fmla="*/ 337819 h 337820"/>
                                  <a:gd name="T14" fmla="*/ 195898 w 391795"/>
                                  <a:gd name="T15" fmla="*/ 245513 h 337820"/>
                                  <a:gd name="T16" fmla="*/ 74826 w 391795"/>
                                  <a:gd name="T17" fmla="*/ 337819 h 337820"/>
                                  <a:gd name="T18" fmla="*/ 134245 w 391795"/>
                                  <a:gd name="T19" fmla="*/ 204903 h 337820"/>
                                  <a:gd name="T20" fmla="*/ 0 w 391795"/>
                                  <a:gd name="T21" fmla="*/ 129035 h 3378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91795" h="337820">
                                    <a:moveTo>
                                      <a:pt x="0" y="129035"/>
                                    </a:moveTo>
                                    <a:lnTo>
                                      <a:pt x="157794" y="139195"/>
                                    </a:lnTo>
                                    <a:lnTo>
                                      <a:pt x="195898" y="0"/>
                                    </a:lnTo>
                                    <a:lnTo>
                                      <a:pt x="234001" y="139195"/>
                                    </a:lnTo>
                                    <a:lnTo>
                                      <a:pt x="391795" y="129035"/>
                                    </a:lnTo>
                                    <a:lnTo>
                                      <a:pt x="257550" y="204903"/>
                                    </a:lnTo>
                                    <a:lnTo>
                                      <a:pt x="316969" y="337819"/>
                                    </a:lnTo>
                                    <a:lnTo>
                                      <a:pt x="195898" y="245513"/>
                                    </a:lnTo>
                                    <a:lnTo>
                                      <a:pt x="74826" y="337819"/>
                                    </a:lnTo>
                                    <a:lnTo>
                                      <a:pt x="134245" y="204903"/>
                                    </a:lnTo>
                                    <a:lnTo>
                                      <a:pt x="0" y="129035"/>
                                    </a:lnTo>
                                    <a:close/>
                                  </a:path>
                                </a:pathLst>
                              </a:custGeom>
                              <a:solidFill>
                                <a:srgbClr val="FFFF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35A631" id="Freeform 5" o:spid="_x0000_s1026" style="position:absolute;margin-left:-.7pt;margin-top:5.7pt;width:30.85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91795,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BEKAQAACMOAAAOAAAAZHJzL2Uyb0RvYy54bWysV22PozYQ/l6p/8HiY6UumNcQbfZU3TVV&#10;pWt70qU/wAETUAFT2wnZ/vqObUjMdc3unZoPvMSPH2bmGY/Hj++uXYsulIuG9TsPPwQeon3ByqY/&#10;7bw/D/sfNx4SkvQlaVlPd94zFd67p++/exyHLQ1ZzdqScgQkvdiOw86rpRy2vi+KmnZEPLCB9jBY&#10;Md4RCa/85JecjMDetX4YBKk/Ml4OnBVUCPj3gxn0njR/VdFC/lFVgkrU7jywTeor19ejuvpPj2R7&#10;4mSom2Iyg3yDFR1pevjojeoDkQSdefMfqq4pOBOskg8F63xWVU1BtQ/gDQ6+8OZzTQaqfYHgiOEW&#10;JvH/0Ra/Xz5x1JQ7L/FQTzqQaM8pVQFHiYrOOIgtgD4Pn7jyTwwfWfGXgAF/MaJeBGDQcfyNlcBC&#10;zpLpiFwr3qmZ4Cu66sA/3wJPrxIV8GeU4ywHAwoYiqJsE2phfLKdJxdnIX+hTBORy0chjW4lPOmo&#10;l5PtB9C46lqQ8AcfBWhEE/MEn1HYQuEwD6IE1ej+YZDxRhja0CTL8tjJGtlQ+HDuZo1taJ5s8o2T&#10;FcJieeQyM7VQYRQHAXYSZhYUr5sJi/f2bRNJJ2tuQV8JKbZFCpMsSVaUsqUKgxi0ckqFba0inOZp&#10;7jQX22Ip5XHu5v0KtbAtVxgnCV6x1xYtizdh6jbXFu01c23VcBSDFW5eW7ZXwguL8p4NbsVCW7FX&#10;MiG0FQtQGsAPpUkSpVNhvi9DW691pK3WOtLWah1pK7WOtIVaR9oyrSNtkVaR0VKilXhGtkrrnKsa&#10;QY0+zVWY1HNhLq79VJnhCRHVCxxAa1WqBybUNqAKNRT7A1ZCAwng1KgFjxZwMELBIyc8XsAhBxRc&#10;72AvsicLOMir4JmTPV3AQTkFz53wbAFX9U7hsdvZzXLC5C0UKVd08uWEyV+oPo4JkBl29PHkMXa6&#10;DAmymDD5jJ1OR0t9VbVQTkM5sEwyWky5waE7+7Iv4x6Cvuyo5kCuEKlSan5E471TqG+Nghrt2IUe&#10;mMbJe5Nhis/0+Tuk7W0o1nu6ttVshhN+Rs33QRPDng57tUbPLcoMmO8GaPbgt9JOXYoK2MLomXO+&#10;T9x6y9TcpmSvmmw2Qo02G8cq2nLQ7F6raL1pvZlab0VvNdukz4vRKFomqEkqlSG6ftxSRWWY1SwK&#10;1jblvmlblRyCn47vW44uBE4De/gFs4gLWNurTAsT6KL0GlgMLjjCONqnL3Jwdu5LncQ1JeXP07Mk&#10;TWuewcwWKp5uolXfbBrtIyufoYfmzJxT4FwFDzXj/3hohDPKzhN/nwmnHmp/7eEQkOM4hjhJ/RIn&#10;mVpz3B452iOkL4Bq5xUSFpl5eS/NUeg88OZUw7fMou/ZT9C9V43qsrWFxq7pBU4iOuTTqUkddex3&#10;jbqf7Z7+BQAA//8DAFBLAwQUAAYACAAAACEAhbo9WdoAAAAHAQAADwAAAGRycy9kb3ducmV2Lnht&#10;bEyOwU7DMBBE70j8g7VI3FonUIUoxKkQEr0hRFuJqxMvcdR4HdluE/6e7QlOo9kZzb56u7hRXDDE&#10;wZOCfJ2BQOq8GahXcDy8rUoQMWkyevSECn4wwra5val1ZfxMn3jZp17wCMVKK7ApTZWUsbPodFz7&#10;CYmzbx+cTmxDL03QM4+7UT5kWSGdHog/WD3hq8XutD87BXL33ocPvctPrT/M9smW5ddcKnV/t7w8&#10;g0i4pL8yXPEZHRpmav2ZTBSjglW+4Sbfr8p5kT2CaFk3Bcimlv/5m18AAAD//wMAUEsBAi0AFAAG&#10;AAgAAAAhALaDOJL+AAAA4QEAABMAAAAAAAAAAAAAAAAAAAAAAFtDb250ZW50X1R5cGVzXS54bWxQ&#10;SwECLQAUAAYACAAAACEAOP0h/9YAAACUAQAACwAAAAAAAAAAAAAAAAAvAQAAX3JlbHMvLnJlbHNQ&#10;SwECLQAUAAYACAAAACEAOl6gRCgEAAAjDgAADgAAAAAAAAAAAAAAAAAuAgAAZHJzL2Uyb0RvYy54&#10;bWxQSwECLQAUAAYACAAAACEAhbo9WdoAAAAHAQAADwAAAAAAAAAAAAAAAACCBgAAZHJzL2Rvd25y&#10;ZXYueG1sUEsFBgAAAAAEAAQA8wAAAIkHAAAAAA==&#10;" path="m,129035r157794,10160l195898,r38103,139195l391795,129035,257550,204903r59419,132916l195898,245513,74826,337819,134245,204903,,129035xe" fillcolor="yellow" strokecolor="#243f60" strokeweight="2pt">
                      <v:path arrowok="t" o:connecttype="custom" o:connectlocs="0,129035;157794,139195;195898,0;234001,139195;391795,129035;257550,204903;316969,337819;195898,245513;74826,337819;134245,204903;0,129035" o:connectangles="0,0,0,0,0,0,0,0,0,0,0"/>
                      <w10:wrap type="through"/>
                    </v:shape>
                  </w:pict>
                </mc:Fallback>
              </mc:AlternateContent>
            </w:r>
            <w:r>
              <w:rPr>
                <w:rFonts w:ascii="Arial" w:hAnsi="Arial" w:cs="Arial"/>
                <w:b/>
              </w:rPr>
              <w:t xml:space="preserve"> Start Here:</w:t>
            </w:r>
          </w:p>
          <w:p w:rsidR="00F143EC" w:rsidRDefault="00F143EC">
            <w:pPr>
              <w:rPr>
                <w:rFonts w:ascii="Arial" w:hAnsi="Arial" w:cs="Arial"/>
                <w:b/>
              </w:rPr>
            </w:pPr>
            <w:r>
              <w:rPr>
                <w:rFonts w:ascii="Arial" w:hAnsi="Arial" w:cs="Arial"/>
                <w:b/>
              </w:rPr>
              <w:t xml:space="preserve">Expected Results and Long Term Impact for </w:t>
            </w:r>
          </w:p>
          <w:p w:rsidR="00F143EC" w:rsidRDefault="00F143EC">
            <w:pPr>
              <w:rPr>
                <w:rFonts w:ascii="Arial" w:hAnsi="Arial" w:cs="Arial"/>
                <w:b/>
              </w:rPr>
            </w:pPr>
            <w:r>
              <w:rPr>
                <w:rFonts w:ascii="Arial" w:hAnsi="Arial" w:cs="Arial"/>
                <w:b/>
              </w:rPr>
              <w:t xml:space="preserve">            Students</w:t>
            </w:r>
          </w:p>
          <w:p w:rsidR="00F143EC" w:rsidRDefault="00F143EC">
            <w:pPr>
              <w:rPr>
                <w:rFonts w:ascii="Arial" w:hAnsi="Arial" w:cs="Arial"/>
                <w:b/>
              </w:rPr>
            </w:pPr>
          </w:p>
          <w:p w:rsidR="00F143EC" w:rsidRDefault="00F143EC">
            <w:pPr>
              <w:rPr>
                <w:rFonts w:ascii="Arial" w:hAnsi="Arial" w:cs="Arial"/>
                <w:b/>
              </w:rPr>
            </w:pPr>
            <w:r>
              <w:rPr>
                <w:rFonts w:ascii="Arial" w:hAnsi="Arial" w:cs="Arial"/>
                <w:b/>
              </w:rPr>
              <w:t xml:space="preserve">A school wide instructional playbook </w:t>
            </w:r>
            <w:r>
              <w:rPr>
                <w:rFonts w:ascii="Arial" w:hAnsi="Arial" w:cs="Arial"/>
                <w:b/>
              </w:rPr>
              <w:t xml:space="preserve">of high yield strategies was created and posted in Google Docs for all </w:t>
            </w:r>
            <w:r>
              <w:rPr>
                <w:rFonts w:ascii="Arial" w:hAnsi="Arial" w:cs="Arial"/>
                <w:b/>
              </w:rPr>
              <w:t>teachers.</w:t>
            </w:r>
            <w:r>
              <w:rPr>
                <w:rFonts w:ascii="Arial" w:hAnsi="Arial" w:cs="Arial"/>
                <w:b/>
              </w:rPr>
              <w:t xml:space="preserve">  Next year two </w:t>
            </w:r>
            <w:proofErr w:type="gramStart"/>
            <w:r>
              <w:rPr>
                <w:rFonts w:ascii="Arial" w:hAnsi="Arial" w:cs="Arial"/>
                <w:b/>
              </w:rPr>
              <w:t>more high</w:t>
            </w:r>
            <w:proofErr w:type="gramEnd"/>
            <w:r>
              <w:rPr>
                <w:rFonts w:ascii="Arial" w:hAnsi="Arial" w:cs="Arial"/>
                <w:b/>
              </w:rPr>
              <w:t xml:space="preserve"> yield strategies </w:t>
            </w:r>
            <w:r>
              <w:rPr>
                <w:rFonts w:ascii="Arial" w:hAnsi="Arial" w:cs="Arial"/>
                <w:b/>
              </w:rPr>
              <w:lastRenderedPageBreak/>
              <w:t>for each teacher will be added to digital playbook.</w:t>
            </w:r>
            <w:bookmarkStart w:id="0" w:name="_GoBack"/>
            <w:bookmarkEnd w:id="0"/>
          </w:p>
          <w:p w:rsidR="00F143EC" w:rsidRDefault="00F143EC">
            <w:pPr>
              <w:rPr>
                <w:rFonts w:ascii="Arial" w:hAnsi="Arial" w:cs="Arial"/>
                <w:b/>
              </w:rPr>
            </w:pPr>
          </w:p>
          <w:p w:rsidR="00F143EC" w:rsidRDefault="00F143EC">
            <w:pPr>
              <w:rPr>
                <w:rFonts w:ascii="Arial" w:hAnsi="Arial" w:cs="Arial"/>
                <w:b/>
              </w:rPr>
            </w:pPr>
            <w:r>
              <w:rPr>
                <w:rFonts w:ascii="Arial" w:hAnsi="Arial" w:cs="Arial"/>
                <w:b/>
              </w:rPr>
              <w:t>LCMHS students show</w:t>
            </w:r>
            <w:r>
              <w:rPr>
                <w:rFonts w:ascii="Arial" w:hAnsi="Arial" w:cs="Arial"/>
                <w:b/>
              </w:rPr>
              <w:t>ed</w:t>
            </w:r>
            <w:r>
              <w:rPr>
                <w:rFonts w:ascii="Arial" w:hAnsi="Arial" w:cs="Arial"/>
                <w:b/>
              </w:rPr>
              <w:t xml:space="preserve"> a significant increase in student achievement.</w:t>
            </w:r>
          </w:p>
          <w:p w:rsidR="00F143EC" w:rsidRDefault="00F143EC">
            <w:pPr>
              <w:rPr>
                <w:rFonts w:ascii="Arial" w:hAnsi="Arial" w:cs="Arial"/>
                <w:b/>
              </w:rPr>
            </w:pPr>
          </w:p>
          <w:p w:rsidR="00F143EC" w:rsidRDefault="00F143EC">
            <w:pPr>
              <w:rPr>
                <w:rFonts w:ascii="Arial" w:hAnsi="Arial" w:cs="Arial"/>
                <w:b/>
              </w:rPr>
            </w:pPr>
          </w:p>
          <w:p w:rsidR="00F143EC" w:rsidRDefault="00F143EC">
            <w:pPr>
              <w:rPr>
                <w:rFonts w:ascii="Arial" w:hAnsi="Arial" w:cs="Arial"/>
                <w:b/>
              </w:rPr>
            </w:pPr>
          </w:p>
        </w:tc>
      </w:tr>
      <w:tr w:rsidR="00F143EC" w:rsidTr="00F143EC">
        <w:tc>
          <w:tcPr>
            <w:tcW w:w="2583" w:type="dxa"/>
            <w:tcBorders>
              <w:top w:val="single" w:sz="4" w:space="0" w:color="auto"/>
              <w:left w:val="single" w:sz="4" w:space="0" w:color="auto"/>
              <w:bottom w:val="single" w:sz="4" w:space="0" w:color="auto"/>
              <w:right w:val="single" w:sz="4" w:space="0" w:color="auto"/>
            </w:tcBorders>
          </w:tcPr>
          <w:p w:rsidR="00F143EC" w:rsidRDefault="00F143EC">
            <w:pPr>
              <w:rPr>
                <w:rFonts w:ascii="Cambria" w:hAnsi="Cambria"/>
              </w:rPr>
            </w:pPr>
            <w:r>
              <w:rPr>
                <w:rFonts w:ascii="Cambria" w:hAnsi="Cambria"/>
                <w:sz w:val="22"/>
                <w:szCs w:val="22"/>
              </w:rPr>
              <w:t>Weekly PLCs focused on data analysis, high yield strategies, best practices, and RTI.</w:t>
            </w:r>
          </w:p>
          <w:p w:rsidR="00F143EC" w:rsidRDefault="00F143EC">
            <w:pPr>
              <w:rPr>
                <w:rFonts w:ascii="Cambria" w:hAnsi="Cambria"/>
              </w:rPr>
            </w:pPr>
          </w:p>
          <w:p w:rsidR="00F143EC" w:rsidRDefault="00F143EC">
            <w:pPr>
              <w:rPr>
                <w:rFonts w:ascii="Cambria" w:hAnsi="Cambria"/>
              </w:rPr>
            </w:pPr>
            <w:r>
              <w:rPr>
                <w:rFonts w:ascii="Cambria" w:hAnsi="Cambria"/>
                <w:sz w:val="22"/>
                <w:szCs w:val="22"/>
              </w:rPr>
              <w:t>LINK-Weekly walkthroughs utilizing literacy rubric with feedback from literacy coach.  Monthly reading activities with parent involvement and book giveaways to promote literacy.</w:t>
            </w:r>
          </w:p>
          <w:p w:rsidR="00F143EC" w:rsidRDefault="00F143EC">
            <w:pPr>
              <w:rPr>
                <w:rFonts w:ascii="Cambria" w:hAnsi="Cambria"/>
              </w:rPr>
            </w:pPr>
          </w:p>
          <w:p w:rsidR="00F143EC" w:rsidRDefault="00F143EC">
            <w:pPr>
              <w:rPr>
                <w:rFonts w:ascii="Cambria" w:hAnsi="Cambria"/>
              </w:rPr>
            </w:pPr>
            <w:r>
              <w:rPr>
                <w:rFonts w:ascii="Cambria" w:hAnsi="Cambria"/>
                <w:sz w:val="22"/>
                <w:szCs w:val="22"/>
              </w:rPr>
              <w:t xml:space="preserve">Backward Design-Ongoing review and revising using teacher work days and end of year </w:t>
            </w:r>
            <w:r>
              <w:rPr>
                <w:rFonts w:ascii="Cambria" w:hAnsi="Cambria"/>
                <w:sz w:val="22"/>
                <w:szCs w:val="22"/>
              </w:rPr>
              <w:lastRenderedPageBreak/>
              <w:t>stipend to work on preps.</w:t>
            </w:r>
          </w:p>
          <w:p w:rsidR="00F143EC" w:rsidRDefault="00F143EC">
            <w:pPr>
              <w:rPr>
                <w:rFonts w:ascii="Cambria" w:hAnsi="Cambria"/>
              </w:rPr>
            </w:pPr>
            <w:r>
              <w:rPr>
                <w:rFonts w:ascii="Cambria" w:hAnsi="Cambria"/>
                <w:sz w:val="22"/>
                <w:szCs w:val="22"/>
              </w:rPr>
              <w:t xml:space="preserve">LDC/MDC-Uploading all MDC and MDC modules into national shared online program. </w:t>
            </w:r>
          </w:p>
          <w:p w:rsidR="00F143EC" w:rsidRDefault="00F143EC">
            <w:pPr>
              <w:rPr>
                <w:rFonts w:ascii="Cambria" w:hAnsi="Cambria"/>
              </w:rPr>
            </w:pPr>
          </w:p>
          <w:p w:rsidR="00F143EC" w:rsidRDefault="00F143EC">
            <w:pPr>
              <w:rPr>
                <w:rFonts w:ascii="Cambria" w:hAnsi="Cambria"/>
              </w:rPr>
            </w:pPr>
            <w:r>
              <w:rPr>
                <w:rFonts w:ascii="Cambria" w:hAnsi="Cambria"/>
                <w:sz w:val="22"/>
                <w:szCs w:val="22"/>
              </w:rPr>
              <w:t>Instructional Coach-Oversees all MDC/LDC workshops and activities.  Schedules visits to other LDC and MDC schools.  Work individually with teachers on strategies and effectiveness.</w:t>
            </w:r>
          </w:p>
          <w:p w:rsidR="00F143EC" w:rsidRDefault="00F143EC">
            <w:pPr>
              <w:rPr>
                <w:rFonts w:ascii="Cambria" w:hAnsi="Cambria"/>
              </w:rPr>
            </w:pPr>
          </w:p>
          <w:p w:rsidR="00F143EC" w:rsidRDefault="00F143EC">
            <w:pPr>
              <w:rPr>
                <w:rFonts w:ascii="Cambria" w:hAnsi="Cambria"/>
              </w:rPr>
            </w:pPr>
            <w:r>
              <w:rPr>
                <w:rFonts w:ascii="Cambria" w:hAnsi="Cambria"/>
                <w:sz w:val="22"/>
                <w:szCs w:val="22"/>
              </w:rPr>
              <w:t>KDE Effectiveness Coach-Meet once a week with Instructional Coach to guide and provide resources.</w:t>
            </w:r>
          </w:p>
          <w:p w:rsidR="00F143EC" w:rsidRDefault="00F143EC">
            <w:pPr>
              <w:rPr>
                <w:rFonts w:ascii="Cambria" w:hAnsi="Cambria"/>
              </w:rPr>
            </w:pPr>
          </w:p>
          <w:p w:rsidR="00F143EC" w:rsidRDefault="00F143EC">
            <w:pPr>
              <w:rPr>
                <w:rFonts w:ascii="Cambria" w:hAnsi="Cambria"/>
              </w:rPr>
            </w:pPr>
            <w:r>
              <w:rPr>
                <w:rFonts w:ascii="Cambria" w:hAnsi="Cambria"/>
                <w:sz w:val="22"/>
                <w:szCs w:val="22"/>
              </w:rPr>
              <w:t xml:space="preserve">Teacher leaders-Provides PD during faculty meetings from out of district trainings.  Department meetings reviewing </w:t>
            </w:r>
            <w:r>
              <w:rPr>
                <w:rFonts w:ascii="Cambria" w:hAnsi="Cambria"/>
                <w:sz w:val="22"/>
                <w:szCs w:val="22"/>
              </w:rPr>
              <w:lastRenderedPageBreak/>
              <w:t xml:space="preserve">data, student achievement, and student needs.  </w:t>
            </w:r>
          </w:p>
          <w:p w:rsidR="00F143EC" w:rsidRDefault="00F143EC">
            <w:pPr>
              <w:rPr>
                <w:rFonts w:ascii="Cambria" w:hAnsi="Cambria"/>
              </w:rPr>
            </w:pPr>
          </w:p>
          <w:p w:rsidR="00F143EC" w:rsidRDefault="00F143EC">
            <w:pPr>
              <w:rPr>
                <w:rFonts w:ascii="Cambria" w:hAnsi="Cambria"/>
              </w:rPr>
            </w:pPr>
            <w:r>
              <w:rPr>
                <w:rFonts w:ascii="Cambria" w:hAnsi="Cambria"/>
                <w:sz w:val="22"/>
                <w:szCs w:val="22"/>
              </w:rPr>
              <w:t>NT3 Leader-Supports initiative by leading monthly PLC focused on embedding Body of Knowledge (what teachers should know and be able to do) focused on best practices and high yield strategies in the classroom.</w:t>
            </w: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tc>
        <w:tc>
          <w:tcPr>
            <w:tcW w:w="2183" w:type="dxa"/>
            <w:tcBorders>
              <w:top w:val="single" w:sz="4" w:space="0" w:color="auto"/>
              <w:left w:val="single" w:sz="4" w:space="0" w:color="auto"/>
              <w:bottom w:val="single" w:sz="4" w:space="0" w:color="auto"/>
              <w:right w:val="single" w:sz="4" w:space="0" w:color="auto"/>
            </w:tcBorders>
          </w:tcPr>
          <w:p w:rsidR="00F143EC" w:rsidRDefault="00F143EC">
            <w:pPr>
              <w:rPr>
                <w:rFonts w:ascii="Cambria" w:hAnsi="Cambria"/>
              </w:rPr>
            </w:pPr>
            <w:r>
              <w:rPr>
                <w:rFonts w:ascii="Cambria" w:hAnsi="Cambria"/>
                <w:sz w:val="22"/>
                <w:szCs w:val="22"/>
              </w:rPr>
              <w:lastRenderedPageBreak/>
              <w:t>Collaborate</w:t>
            </w:r>
            <w:r>
              <w:rPr>
                <w:rFonts w:ascii="Cambria" w:hAnsi="Cambria"/>
                <w:sz w:val="22"/>
                <w:szCs w:val="22"/>
              </w:rPr>
              <w:t>d</w:t>
            </w:r>
            <w:r>
              <w:rPr>
                <w:rFonts w:ascii="Cambria" w:hAnsi="Cambria"/>
                <w:sz w:val="22"/>
                <w:szCs w:val="22"/>
              </w:rPr>
              <w:t xml:space="preserve"> in identifying student needs based on external and internal factors.</w:t>
            </w:r>
          </w:p>
          <w:p w:rsidR="00F143EC" w:rsidRDefault="00F143EC">
            <w:pPr>
              <w:rPr>
                <w:rFonts w:ascii="Cambria" w:hAnsi="Cambria"/>
              </w:rPr>
            </w:pPr>
          </w:p>
          <w:p w:rsidR="00F143EC" w:rsidRDefault="00F143EC">
            <w:pPr>
              <w:rPr>
                <w:rFonts w:ascii="Cambria" w:hAnsi="Cambria"/>
              </w:rPr>
            </w:pPr>
            <w:r>
              <w:rPr>
                <w:rFonts w:ascii="Cambria" w:hAnsi="Cambria"/>
                <w:sz w:val="22"/>
                <w:szCs w:val="22"/>
              </w:rPr>
              <w:t>Provide</w:t>
            </w:r>
            <w:r>
              <w:rPr>
                <w:rFonts w:ascii="Cambria" w:hAnsi="Cambria"/>
                <w:sz w:val="22"/>
                <w:szCs w:val="22"/>
              </w:rPr>
              <w:t>d</w:t>
            </w:r>
            <w:r>
              <w:rPr>
                <w:rFonts w:ascii="Cambria" w:hAnsi="Cambria"/>
                <w:sz w:val="22"/>
                <w:szCs w:val="22"/>
              </w:rPr>
              <w:t xml:space="preserve"> mentorships through Gear Up with students in development of practicing good work habits.</w:t>
            </w:r>
          </w:p>
          <w:p w:rsidR="00F143EC" w:rsidRDefault="00F143EC">
            <w:pPr>
              <w:rPr>
                <w:rFonts w:ascii="Cambria" w:hAnsi="Cambria"/>
              </w:rPr>
            </w:pPr>
          </w:p>
          <w:p w:rsidR="00F143EC" w:rsidRDefault="00F143EC">
            <w:pPr>
              <w:rPr>
                <w:rFonts w:ascii="Cambria" w:hAnsi="Cambria"/>
              </w:rPr>
            </w:pPr>
            <w:r>
              <w:rPr>
                <w:rFonts w:ascii="Cambria" w:hAnsi="Cambria"/>
                <w:sz w:val="22"/>
                <w:szCs w:val="22"/>
              </w:rPr>
              <w:t>Partner with community outreach programs to help address individual student needs.</w:t>
            </w: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r>
              <w:rPr>
                <w:noProof/>
              </w:rPr>
              <mc:AlternateContent>
                <mc:Choice Requires="wps">
                  <w:drawing>
                    <wp:anchor distT="0" distB="0" distL="114300" distR="114300" simplePos="0" relativeHeight="251653632" behindDoc="0" locked="0" layoutInCell="1" allowOverlap="1">
                      <wp:simplePos x="0" y="0"/>
                      <wp:positionH relativeFrom="column">
                        <wp:posOffset>220345</wp:posOffset>
                      </wp:positionH>
                      <wp:positionV relativeFrom="paragraph">
                        <wp:posOffset>3832225</wp:posOffset>
                      </wp:positionV>
                      <wp:extent cx="610235" cy="484505"/>
                      <wp:effectExtent l="39370" t="50800" r="17145" b="45720"/>
                      <wp:wrapThrough wrapText="bothSides">
                        <wp:wrapPolygon edited="0">
                          <wp:start x="8092" y="-1274"/>
                          <wp:lineTo x="-1011" y="10588"/>
                          <wp:lineTo x="8092" y="22449"/>
                          <wp:lineTo x="9440" y="22449"/>
                          <wp:lineTo x="9440" y="19052"/>
                          <wp:lineTo x="17217" y="19052"/>
                          <wp:lineTo x="22274" y="16504"/>
                          <wp:lineTo x="22274" y="4671"/>
                          <wp:lineTo x="9440" y="-1274"/>
                          <wp:lineTo x="8092" y="-1274"/>
                        </wp:wrapPolygon>
                      </wp:wrapThrough>
                      <wp:docPr id="4" name="Lef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484505"/>
                              </a:xfrm>
                              <a:prstGeom prst="leftArrow">
                                <a:avLst>
                                  <a:gd name="adj1" fmla="val 50000"/>
                                  <a:gd name="adj2" fmla="val 50001"/>
                                </a:avLst>
                              </a:prstGeom>
                              <a:solidFill>
                                <a:srgbClr val="4F81BD">
                                  <a:alpha val="36078"/>
                                </a:srgbClr>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B751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17.35pt;margin-top:301.75pt;width:48.05pt;height:3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7uVQIAALYEAAAOAAAAZHJzL2Uyb0RvYy54bWysVNuO0zAQfUfiHyy/s7k07ZZo09XSpQhp&#10;gZUWPmBqO43BN2y36fL1TJx0KYvEAyIPlsczPnPOjCdX10etyEH4IK1paHGRUyIMs1yaXUO/fN68&#10;WlISIhgOyhrR0EcR6PXq5Yur3tWitJ1VXHiCICbUvWtoF6OrsyywTmgIF9YJg87Weg0RTb/LuIce&#10;0bXKyjxfZL313HnLRAh4ejs66Srht61g8VPbBhGJaihyi2n1ad0Oa7a6gnrnwXWSTTTgH1hokAaT&#10;PkHdQgSy9/IPKC2Zt8G28YJZndm2lUwkDaimyJ+peejAiaQFixPcU5nC/4NlHw/3nkje0IoSAxpb&#10;dCfaSG68tz2phvr0LtQY9uDu/aAwuDvLvgVi7LoDsxMpshPAkVUxxGe/XRiMgFfJtv9gOcLDPtpU&#10;qmPr9QCIRSDH1JHHp46IYyQMDxdFXs7mlDB0Vctqns9TBqhPl50P8Z2wmgybhirkngilDHC4CzF1&#10;hU/agH8tKGm1wiYfQJF5jt/0CM5iyucxozCoJ8QM6lPiVBKrJN9IpZLhd9u18gThkfNmWby5Hcko&#10;18F4Olvkl8tJSBjDsWxY2nMcZUjf0HJeIcG/Jymr2WaRVDzH0DLidCmpG7oclE5Sh269NTy9/QhS&#10;jXu8rMzUvqFjY+e3lj9i97wdRwdHHTed9T8o6XFsGhq+78ELStR7gy/gdVFVw5wlo5pflmj4c8/2&#10;3AOGIVRDWfSUjMY6jtO5d17uOsxVJPXG3uC7aWU8PbCR10QXhyMVcBrkYfrO7RT163ez+gkAAP//&#10;AwBQSwMEFAAGAAgAAAAhANBlPYHhAAAACgEAAA8AAABkcnMvZG93bnJldi54bWxMj01PwzAMhu9I&#10;/IfISNxYWgr7KE0nhNgBEGhbkbhmjWkqGqdqsq3w6/FOcLT96PXzFsvRdeKAQ2g9KUgnCQik2puW&#10;GgXv1epqDiJETUZ3nlDBNwZYludnhc6NP9IGD9vYCA6hkGsFNsY+lzLUFp0OE98j8e3TD05HHodG&#10;mkEfOdx18jpJptLplviD1T0+WKy/tnun4PkxpC9ra2Wf/qyeqsVbqF4/aqUuL8b7OxARx/gHw0mf&#10;1aFkp53fkwmiU5DdzJhUME2yWxAnIEu4y443s8UcZFnI/xXKXwAAAP//AwBQSwECLQAUAAYACAAA&#10;ACEAtoM4kv4AAADhAQAAEwAAAAAAAAAAAAAAAAAAAAAAW0NvbnRlbnRfVHlwZXNdLnhtbFBLAQIt&#10;ABQABgAIAAAAIQA4/SH/1gAAAJQBAAALAAAAAAAAAAAAAAAAAC8BAABfcmVscy8ucmVsc1BLAQIt&#10;ABQABgAIAAAAIQASPW7uVQIAALYEAAAOAAAAAAAAAAAAAAAAAC4CAABkcnMvZTJvRG9jLnhtbFBL&#10;AQItABQABgAIAAAAIQDQZT2B4QAAAAoBAAAPAAAAAAAAAAAAAAAAAK8EAABkcnMvZG93bnJldi54&#10;bWxQSwUGAAAAAAQABADzAAAAvQUAAAAA&#10;" adj="8575" fillcolor="#4f81bd" strokecolor="#243f60" strokeweight="2pt">
                      <v:fill opacity="23644f"/>
                      <w10:wrap type="through"/>
                    </v:shape>
                  </w:pict>
                </mc:Fallback>
              </mc:AlternateContent>
            </w:r>
          </w:p>
        </w:tc>
        <w:tc>
          <w:tcPr>
            <w:tcW w:w="2075" w:type="dxa"/>
            <w:tcBorders>
              <w:top w:val="single" w:sz="4" w:space="0" w:color="auto"/>
              <w:left w:val="single" w:sz="4" w:space="0" w:color="auto"/>
              <w:bottom w:val="single" w:sz="4" w:space="0" w:color="auto"/>
              <w:right w:val="single" w:sz="4" w:space="0" w:color="auto"/>
            </w:tcBorders>
          </w:tcPr>
          <w:p w:rsidR="00F143EC" w:rsidRDefault="00F143EC">
            <w:pPr>
              <w:rPr>
                <w:rFonts w:ascii="Cambria" w:hAnsi="Cambria"/>
              </w:rPr>
            </w:pPr>
            <w:r>
              <w:rPr>
                <w:rFonts w:ascii="Cambria" w:hAnsi="Cambria"/>
                <w:sz w:val="22"/>
                <w:szCs w:val="22"/>
              </w:rPr>
              <w:lastRenderedPageBreak/>
              <w:t xml:space="preserve">Plan, organize, and provide support for differentiation sessions for PD opportunities focusing on teacher needs. </w:t>
            </w: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175895</wp:posOffset>
                      </wp:positionH>
                      <wp:positionV relativeFrom="paragraph">
                        <wp:posOffset>3832225</wp:posOffset>
                      </wp:positionV>
                      <wp:extent cx="610235" cy="484505"/>
                      <wp:effectExtent l="33020" t="50800" r="13970" b="45720"/>
                      <wp:wrapThrough wrapText="bothSides">
                        <wp:wrapPolygon edited="0">
                          <wp:start x="8092" y="-1274"/>
                          <wp:lineTo x="-1011" y="10588"/>
                          <wp:lineTo x="8092" y="22449"/>
                          <wp:lineTo x="9440" y="22449"/>
                          <wp:lineTo x="9440" y="19052"/>
                          <wp:lineTo x="17217" y="19052"/>
                          <wp:lineTo x="22274" y="16504"/>
                          <wp:lineTo x="22274" y="4671"/>
                          <wp:lineTo x="9440" y="-1274"/>
                          <wp:lineTo x="8092" y="-1274"/>
                        </wp:wrapPolygon>
                      </wp:wrapThrough>
                      <wp:docPr id="3" name="Lef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484505"/>
                              </a:xfrm>
                              <a:prstGeom prst="leftArrow">
                                <a:avLst>
                                  <a:gd name="adj1" fmla="val 50000"/>
                                  <a:gd name="adj2" fmla="val 50001"/>
                                </a:avLst>
                              </a:prstGeom>
                              <a:solidFill>
                                <a:srgbClr val="4F81BD">
                                  <a:alpha val="38823"/>
                                </a:srgbClr>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2C5DB9" id="Left Arrow 3" o:spid="_x0000_s1026" type="#_x0000_t66" style="position:absolute;margin-left:13.85pt;margin-top:301.75pt;width:48.05pt;height:3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dpVgIAALYEAAAOAAAAZHJzL2Uyb0RvYy54bWysVNuO0zAQfUfiHyy/s7k0XUq06WrpUoS0&#10;wEoLHzC1ncbgG7bbdPfrmThpKYvEAyIPlsczPnPOjCdX1wetyF74IK1paHGRUyIMs1yabUO/flm/&#10;WlASIhgOyhrR0EcR6PXy5Yur3tWitJ1VXHiCICbUvWtoF6OrsyywTmgIF9YJg87Weg0RTb/NuIce&#10;0bXKyjy/zHrrufOWiRDw9HZ00mXCb1vB4ue2DSIS1VDkFtPq07oZ1mx5BfXWg+skm2jAP7DQIA0m&#10;PUHdQgSy8/IPKC2Zt8G28YJZndm2lUwkDaimyJ+peejAiaQFixPcqUzh/8GyT/t7TyRv6IwSAxpb&#10;dCfaSG68tz2ZDfXpXagx7MHd+0FhcHeWfQ/E2FUHZitSZCeAI6tiiM9+uzAYAa+STf/RcoSHXbSp&#10;VIfW6wEQi0AOqSOPp46IQyQMDy+LvJzNKWHoqhbVPJ+nDFAfLzsf4nthNRk2DVXIPRFKGWB/F2Lq&#10;Cp+0Af9WUNJqhU3egyLzHL/pEZzFlM9jRmFQT4gZ1MfEqSRWSb6WSiXDbzcr5QnCI+f1onh7O5JR&#10;roPxdLZYlKm0iBPGcCwb7s9xlCF9Q8t5hQT/nqSsZuvLpOI5hpYRp0tJ3dDFoHSSOnTrneHp7UeQ&#10;atzjZWWm9g0dGzu/sfwRu+ftODo46rjprH+ipMexaWj4sQMvKFEfDL6AN0VVDXOWjGr+ukTDn3s2&#10;5x4wDKEayqKnZDRWcZzOnfNy22GuIqk39gbfTSvj8YGNvCa6OBypgNMgD9N3bqeoX7+b5U8AAAD/&#10;/wMAUEsDBBQABgAIAAAAIQDmPlL03gAAAAoBAAAPAAAAZHJzL2Rvd25yZXYueG1sTI/BTsJAEIbv&#10;Jr7DZky8yZYSWqjdEtPEC4mJgvE8tGNb7c423QXK2zuc5DgzX/75/nwz2V6daPSdYwPzWQSKuHJ1&#10;x42Bz/3r0wqUD8g19o7JwIU8bIr7uxyz2p35g0670CgJYZ+hgTaEIdPaVy1Z9DM3EMvt240Wg4xj&#10;o+sRzxJuex1HUaItdiwfWhyobKn63R2tgTea1gmWW1qi/cLy8r6fb/WPMY8P08szqEBT+Ifhqi/q&#10;UIjTwR259qo3EKepkAaSaLEEdQXihXQ5yCZdr0AXub6tUPwBAAD//wMAUEsBAi0AFAAGAAgAAAAh&#10;ALaDOJL+AAAA4QEAABMAAAAAAAAAAAAAAAAAAAAAAFtDb250ZW50X1R5cGVzXS54bWxQSwECLQAU&#10;AAYACAAAACEAOP0h/9YAAACUAQAACwAAAAAAAAAAAAAAAAAvAQAAX3JlbHMvLnJlbHNQSwECLQAU&#10;AAYACAAAACEAoiEXaVYCAAC2BAAADgAAAAAAAAAAAAAAAAAuAgAAZHJzL2Uyb0RvYy54bWxQSwEC&#10;LQAUAAYACAAAACEA5j5S9N4AAAAKAQAADwAAAAAAAAAAAAAAAACwBAAAZHJzL2Rvd25yZXYueG1s&#10;UEsFBgAAAAAEAAQA8wAAALsFAAAAAA==&#10;" adj="8575" fillcolor="#4f81bd" strokecolor="#243f60" strokeweight="2pt">
                      <v:fill opacity="25443f"/>
                      <w10:wrap type="through"/>
                    </v:shape>
                  </w:pict>
                </mc:Fallback>
              </mc:AlternateContent>
            </w:r>
          </w:p>
        </w:tc>
        <w:tc>
          <w:tcPr>
            <w:tcW w:w="2003" w:type="dxa"/>
            <w:tcBorders>
              <w:top w:val="single" w:sz="4" w:space="0" w:color="auto"/>
              <w:left w:val="single" w:sz="4" w:space="0" w:color="auto"/>
              <w:bottom w:val="single" w:sz="4" w:space="0" w:color="auto"/>
              <w:right w:val="single" w:sz="4" w:space="0" w:color="auto"/>
            </w:tcBorders>
          </w:tcPr>
          <w:p w:rsidR="00F143EC" w:rsidRDefault="00F143EC">
            <w:pPr>
              <w:rPr>
                <w:rFonts w:ascii="Cambria" w:hAnsi="Cambria"/>
              </w:rPr>
            </w:pPr>
            <w:r>
              <w:rPr>
                <w:rFonts w:ascii="Cambria" w:hAnsi="Cambria"/>
                <w:sz w:val="22"/>
                <w:szCs w:val="22"/>
              </w:rPr>
              <w:lastRenderedPageBreak/>
              <w:t>Provide teacher work days for effectiveness and instructional coach to help  in reviewing and revising LDCs and MDCs to include high yield strategies in units and daily lesson plans.</w:t>
            </w:r>
          </w:p>
          <w:p w:rsidR="00F143EC" w:rsidRDefault="00F143EC">
            <w:pPr>
              <w:rPr>
                <w:rFonts w:ascii="Cambria" w:hAnsi="Cambria"/>
              </w:rPr>
            </w:pPr>
          </w:p>
          <w:p w:rsidR="00F143EC" w:rsidRDefault="00F143EC">
            <w:pPr>
              <w:rPr>
                <w:rFonts w:ascii="Cambria" w:hAnsi="Cambria"/>
              </w:rPr>
            </w:pPr>
            <w:r>
              <w:rPr>
                <w:rFonts w:ascii="Cambria" w:hAnsi="Cambria"/>
                <w:sz w:val="22"/>
                <w:szCs w:val="22"/>
              </w:rPr>
              <w:t>Provide</w:t>
            </w:r>
            <w:r>
              <w:rPr>
                <w:rFonts w:ascii="Cambria" w:hAnsi="Cambria"/>
                <w:sz w:val="22"/>
                <w:szCs w:val="22"/>
              </w:rPr>
              <w:t>d</w:t>
            </w:r>
            <w:r>
              <w:rPr>
                <w:rFonts w:ascii="Cambria" w:hAnsi="Cambria"/>
                <w:sz w:val="22"/>
                <w:szCs w:val="22"/>
              </w:rPr>
              <w:t xml:space="preserve"> peer to peer observation time to monitor student engagement using </w:t>
            </w:r>
            <w:r>
              <w:rPr>
                <w:rFonts w:ascii="Cambria" w:hAnsi="Cambria"/>
                <w:sz w:val="22"/>
                <w:szCs w:val="22"/>
              </w:rPr>
              <w:lastRenderedPageBreak/>
              <w:t>evaluation instrument.</w:t>
            </w: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p>
          <w:p w:rsidR="00F143EC" w:rsidRDefault="00F143EC">
            <w:pPr>
              <w:rPr>
                <w:rFonts w:ascii="Cambria" w:hAnsi="Cambria"/>
              </w:rPr>
            </w:pPr>
            <w:r>
              <w:rPr>
                <w:noProof/>
              </w:rPr>
              <mc:AlternateContent>
                <mc:Choice Requires="wps">
                  <w:drawing>
                    <wp:anchor distT="0" distB="0" distL="114300" distR="114300" simplePos="0" relativeHeight="251657728" behindDoc="0" locked="0" layoutInCell="1" allowOverlap="1">
                      <wp:simplePos x="0" y="0"/>
                      <wp:positionH relativeFrom="column">
                        <wp:posOffset>176530</wp:posOffset>
                      </wp:positionH>
                      <wp:positionV relativeFrom="paragraph">
                        <wp:posOffset>3834765</wp:posOffset>
                      </wp:positionV>
                      <wp:extent cx="610235" cy="484505"/>
                      <wp:effectExtent l="33655" t="43815" r="13335" b="52705"/>
                      <wp:wrapThrough wrapText="bothSides">
                        <wp:wrapPolygon edited="0">
                          <wp:start x="8092" y="-1274"/>
                          <wp:lineTo x="-1011" y="10588"/>
                          <wp:lineTo x="8092" y="22449"/>
                          <wp:lineTo x="9440" y="22449"/>
                          <wp:lineTo x="9440" y="19052"/>
                          <wp:lineTo x="17217" y="19052"/>
                          <wp:lineTo x="22274" y="16504"/>
                          <wp:lineTo x="22274" y="4671"/>
                          <wp:lineTo x="9440" y="-1274"/>
                          <wp:lineTo x="8092" y="-1274"/>
                        </wp:wrapPolygon>
                      </wp:wrapThrough>
                      <wp:docPr id="2" name="Lef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484505"/>
                              </a:xfrm>
                              <a:prstGeom prst="leftArrow">
                                <a:avLst>
                                  <a:gd name="adj1" fmla="val 50000"/>
                                  <a:gd name="adj2" fmla="val 50001"/>
                                </a:avLst>
                              </a:prstGeom>
                              <a:solidFill>
                                <a:srgbClr val="4F81BD">
                                  <a:alpha val="30980"/>
                                </a:srgbClr>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0DF7CF" id="Left Arrow 2" o:spid="_x0000_s1026" type="#_x0000_t66" style="position:absolute;margin-left:13.9pt;margin-top:301.95pt;width:48.05pt;height:3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5yVgIAALYEAAAOAAAAZHJzL2Uyb0RvYy54bWysVNuO0zAQfUfiHyy/s7lsunSjTVdLSxHS&#10;AistfMDUdhqDb9hu0+XrmThp6YLEAyIPlsczPnNmjic3twetyF74IK1paHGRUyIMs1yabUO/fF6/&#10;mlMSIhgOyhrR0CcR6O3i5Yub3tWitJ1VXHiCICbUvWtoF6OrsyywTmgIF9YJg87Weg0RTb/NuIce&#10;0bXKyjy/ynrrufOWiRDwdDU66SLht61g8VPbBhGJaihyi2n1ad0Ma7a4gXrrwXWSTTTgH1hokAaT&#10;nqBWEIHsvPwDSkvmbbBtvGBWZ7ZtJROpBqymyH+r5rEDJ1It2JzgTm0K/w+Wfdw/eCJ5Q0tKDGiU&#10;6F60kdx5b3tSDv3pXagx7NE9+KHC4O4t+xaIscsOzFakyE4AR1bFEJ89uzAYAa+STf/BcoSHXbSp&#10;VYfW6wEQm0AOSZGnkyLiEAnDw6siLy9nlDB0VfNqls9SBqiPl50P8Z2wmgybhirkngilDLC/DzGp&#10;wqfagH8tKGm1QpH3oMgsx296BGcx2IvnMWNhUE+IGdTHxKklVkm+lkolw283S+UJwiPn9bx4sxrJ&#10;KNfBeHqZX89TVsQJYzi2DffnOMqQHlWZVUjw70nK6nJ9dcI7x9Ay4nQpqRs6HyqdSh3Uemt4evsR&#10;pBr3SECZSb5BsVH5jeVPqJ634+jgqOOms/4HJT2OTUPD9x14QYl6b/AFXBdVNcxZMqrZ6xINf+7Z&#10;nHvAMIRqKIuektFYxnE6d87LbYe5ilS9sXf4bloZjw9s5DXRxeFIDZwGeZi+cztF/frdLH4CAAD/&#10;/wMAUEsDBBQABgAIAAAAIQCyctCR3gAAAAoBAAAPAAAAZHJzL2Rvd25yZXYueG1sTI9BS8QwEIXv&#10;gv8hjODNTYywrrXpIrIriODiKuIxbca22ExKM93t/nvTk95m3jze+yZfT74TBxxiG8jA9UKBQKqC&#10;a6k28PG+vVqBiGzJ2S4QGjhhhHVxfpbbzIUjveFhz7VIIRQza6Bh7jMpY9Wgt3EReqR0+w6Dt5zW&#10;oZZusMcU7juplVpKb1tKDY3t8bHB6mc/egPlltHr1/HlFDbx8/npCzfTDo25vJge7kEwTvxnhhk/&#10;oUORmMowkouiM6BvEzkbWKqbOxCzQc9DmZSV0iCLXP5/ofgFAAD//wMAUEsBAi0AFAAGAAgAAAAh&#10;ALaDOJL+AAAA4QEAABMAAAAAAAAAAAAAAAAAAAAAAFtDb250ZW50X1R5cGVzXS54bWxQSwECLQAU&#10;AAYACAAAACEAOP0h/9YAAACUAQAACwAAAAAAAAAAAAAAAAAvAQAAX3JlbHMvLnJlbHNQSwECLQAU&#10;AAYACAAAACEAyaQuclYCAAC2BAAADgAAAAAAAAAAAAAAAAAuAgAAZHJzL2Uyb0RvYy54bWxQSwEC&#10;LQAUAAYACAAAACEAsnLQkd4AAAAKAQAADwAAAAAAAAAAAAAAAACwBAAAZHJzL2Rvd25yZXYueG1s&#10;UEsFBgAAAAAEAAQA8wAAALsFAAAAAA==&#10;" adj="8575" fillcolor="#4f81bd" strokecolor="#243f60" strokeweight="2pt">
                      <v:fill opacity="20303f"/>
                      <w10:wrap type="through"/>
                    </v:shape>
                  </w:pict>
                </mc:Fallback>
              </mc:AlternateContent>
            </w:r>
          </w:p>
        </w:tc>
        <w:tc>
          <w:tcPr>
            <w:tcW w:w="1993" w:type="dxa"/>
            <w:tcBorders>
              <w:top w:val="single" w:sz="4" w:space="0" w:color="auto"/>
              <w:left w:val="single" w:sz="4" w:space="0" w:color="auto"/>
              <w:bottom w:val="single" w:sz="4" w:space="0" w:color="auto"/>
              <w:right w:val="single" w:sz="4" w:space="0" w:color="auto"/>
            </w:tcBorders>
          </w:tcPr>
          <w:p w:rsidR="00F143EC" w:rsidRDefault="00F143EC">
            <w:pPr>
              <w:rPr>
                <w:rFonts w:ascii="Cambria" w:hAnsi="Cambria"/>
              </w:rPr>
            </w:pPr>
            <w:r>
              <w:rPr>
                <w:rFonts w:ascii="Cambria" w:hAnsi="Cambria"/>
                <w:sz w:val="22"/>
                <w:szCs w:val="22"/>
              </w:rPr>
              <w:lastRenderedPageBreak/>
              <w:t>Collaborate in PLCs to develop step-by-step instructions for implementing high yield strategies.</w:t>
            </w:r>
          </w:p>
          <w:p w:rsidR="00F143EC" w:rsidRDefault="00F143EC">
            <w:pPr>
              <w:rPr>
                <w:rFonts w:ascii="Cambria" w:hAnsi="Cambria"/>
              </w:rPr>
            </w:pPr>
          </w:p>
          <w:p w:rsidR="00F143EC" w:rsidRDefault="00F143EC">
            <w:pPr>
              <w:rPr>
                <w:rFonts w:ascii="Cambria" w:hAnsi="Cambria"/>
              </w:rPr>
            </w:pPr>
            <w:r>
              <w:rPr>
                <w:rFonts w:ascii="Cambria" w:hAnsi="Cambria"/>
                <w:sz w:val="22"/>
                <w:szCs w:val="22"/>
              </w:rPr>
              <w:t xml:space="preserve">Track student engagement by analyzing multiple sources of data and plan next steps </w:t>
            </w:r>
          </w:p>
          <w:p w:rsidR="00F143EC" w:rsidRDefault="00F143EC">
            <w:pPr>
              <w:rPr>
                <w:rFonts w:ascii="Cambria" w:hAnsi="Cambria"/>
              </w:rPr>
            </w:pPr>
          </w:p>
          <w:p w:rsidR="00F143EC" w:rsidRDefault="00F143EC">
            <w:pPr>
              <w:rPr>
                <w:rFonts w:ascii="Cambria" w:hAnsi="Cambria"/>
              </w:rPr>
            </w:pPr>
            <w:r>
              <w:rPr>
                <w:rFonts w:ascii="Cambria" w:hAnsi="Cambria"/>
                <w:sz w:val="22"/>
                <w:szCs w:val="22"/>
              </w:rPr>
              <w:t>Next year:  Continue to work on a</w:t>
            </w:r>
            <w:r>
              <w:rPr>
                <w:rFonts w:ascii="Cambria" w:hAnsi="Cambria"/>
                <w:sz w:val="22"/>
                <w:szCs w:val="22"/>
              </w:rPr>
              <w:t>ttain</w:t>
            </w:r>
            <w:r>
              <w:rPr>
                <w:rFonts w:ascii="Cambria" w:hAnsi="Cambria"/>
                <w:sz w:val="22"/>
                <w:szCs w:val="22"/>
              </w:rPr>
              <w:t>ing</w:t>
            </w:r>
            <w:r>
              <w:rPr>
                <w:rFonts w:ascii="Cambria" w:hAnsi="Cambria"/>
                <w:sz w:val="22"/>
                <w:szCs w:val="22"/>
              </w:rPr>
              <w:t xml:space="preserve"> micro-credentials aligned to student </w:t>
            </w:r>
            <w:r>
              <w:rPr>
                <w:rFonts w:ascii="Cambria" w:hAnsi="Cambria"/>
                <w:sz w:val="22"/>
                <w:szCs w:val="22"/>
              </w:rPr>
              <w:lastRenderedPageBreak/>
              <w:t>engagement practices</w:t>
            </w:r>
          </w:p>
          <w:p w:rsidR="00F143EC" w:rsidRDefault="00F143EC">
            <w:pPr>
              <w:rPr>
                <w:rFonts w:ascii="Cambria" w:hAnsi="Cambr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3EC" w:rsidRDefault="00F143EC">
            <w:pPr>
              <w:rPr>
                <w:rFonts w:ascii="Arial" w:hAnsi="Arial" w:cs="Arial"/>
                <w:b/>
              </w:rPr>
            </w:pPr>
          </w:p>
        </w:tc>
      </w:tr>
    </w:tbl>
    <w:p w:rsidR="00F143EC" w:rsidRDefault="00F143EC" w:rsidP="00F143EC">
      <w:pPr>
        <w:rPr>
          <w:rFonts w:ascii="Cambria" w:hAnsi="Cambria"/>
        </w:rPr>
      </w:pPr>
    </w:p>
    <w:p w:rsidR="00F143EC" w:rsidRDefault="00F143EC" w:rsidP="00F143EC"/>
    <w:p w:rsidR="00FA3627" w:rsidRDefault="00FA3627"/>
    <w:sectPr w:rsidR="00FA3627" w:rsidSect="00F143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EC"/>
    <w:rsid w:val="00F143EC"/>
    <w:rsid w:val="00FA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3A30D9"/>
  <w15:chartTrackingRefBased/>
  <w15:docId w15:val="{6B95B240-3B66-4C20-A080-5C53891B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Lee County School District</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LeeAdmin</dc:creator>
  <cp:keywords/>
  <dc:description/>
  <cp:lastModifiedBy>LeeAdmin</cp:lastModifiedBy>
  <cp:revision>1</cp:revision>
  <dcterms:created xsi:type="dcterms:W3CDTF">2018-04-27T21:25:00Z</dcterms:created>
  <dcterms:modified xsi:type="dcterms:W3CDTF">2018-04-27T21:34:00Z</dcterms:modified>
</cp:coreProperties>
</file>