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B2958" w14:textId="77777777" w:rsidR="005C6014" w:rsidRDefault="005C6014">
      <w:bookmarkStart w:id="0" w:name="_GoBack"/>
      <w:bookmarkEnd w:id="0"/>
    </w:p>
    <w:tbl>
      <w:tblPr>
        <w:tblStyle w:val="a"/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755"/>
        <w:gridCol w:w="1890"/>
        <w:gridCol w:w="2805"/>
        <w:gridCol w:w="2745"/>
        <w:gridCol w:w="3015"/>
      </w:tblGrid>
      <w:tr w:rsidR="005C6014" w14:paraId="33D641AA" w14:textId="77777777">
        <w:tc>
          <w:tcPr>
            <w:tcW w:w="14385" w:type="dxa"/>
            <w:gridSpan w:val="6"/>
          </w:tcPr>
          <w:p w14:paraId="425E1ACA" w14:textId="77777777" w:rsidR="005C6014" w:rsidRDefault="00E643D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Problem of Practice Statement/Question:</w:t>
            </w:r>
          </w:p>
          <w:p w14:paraId="2F36A11C" w14:textId="77777777" w:rsidR="005C6014" w:rsidRDefault="005C601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DCF6DF6" w14:textId="77777777" w:rsidR="005C6014" w:rsidRDefault="00E643D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the past few years, Lawrence County Schools have focused on a variety of research-based instructional strategies and techniques. In the implementation of these strategies and techniques, our teachers are at various stages ranging from the need for int</w:t>
            </w:r>
            <w:r>
              <w:rPr>
                <w:b/>
                <w:sz w:val="22"/>
                <w:szCs w:val="22"/>
              </w:rPr>
              <w:t xml:space="preserve">roduction to the need for refinement and sustainability. </w:t>
            </w:r>
          </w:p>
          <w:p w14:paraId="79BA5872" w14:textId="77777777" w:rsidR="005C6014" w:rsidRDefault="005C6014">
            <w:pPr>
              <w:widowControl w:val="0"/>
              <w:rPr>
                <w:b/>
                <w:sz w:val="22"/>
                <w:szCs w:val="22"/>
              </w:rPr>
            </w:pPr>
          </w:p>
          <w:p w14:paraId="7CE004B2" w14:textId="77777777" w:rsidR="005C6014" w:rsidRDefault="00E643DE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Evidenced by:</w:t>
            </w:r>
          </w:p>
          <w:p w14:paraId="39212776" w14:textId="77777777" w:rsidR="005C6014" w:rsidRDefault="00E643DE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Based on LC Instructional Program Data Collection analysis, 71% of instructors implement evidence-based formative assessment techniques; 42.9% of instructors implement data-driven ins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tructional plans.</w:t>
            </w:r>
          </w:p>
          <w:p w14:paraId="47F3AB04" w14:textId="77777777" w:rsidR="005C6014" w:rsidRDefault="005C6014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F4876D" w14:textId="77777777" w:rsidR="005C6014" w:rsidRDefault="00E643D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Phase 1:  Based on walkthrough data and student achievement, our schools/district needs a system of formative assessment that everyone (students, teaches, principals, and parents) uses to personalize instruction.</w:t>
            </w:r>
          </w:p>
          <w:p w14:paraId="64FC4BAB" w14:textId="77777777" w:rsidR="005C6014" w:rsidRDefault="00E643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DEFCE9D" w14:textId="77777777" w:rsidR="005C6014" w:rsidRDefault="00E643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Phase 2:  Based on wal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kthrough data and student achievement, our schools/district needs a system of core instructional strategies (aligned to the gradual release model) that everyone (students, teaches, principals, and parents) use to ensure student learning outcomes.</w:t>
            </w:r>
          </w:p>
        </w:tc>
      </w:tr>
      <w:tr w:rsidR="005C6014" w14:paraId="28C460B6" w14:textId="77777777">
        <w:tc>
          <w:tcPr>
            <w:tcW w:w="2175" w:type="dxa"/>
          </w:tcPr>
          <w:p w14:paraId="3DA1EE6D" w14:textId="77777777" w:rsidR="005C6014" w:rsidRDefault="00E643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Inputs</w:t>
            </w:r>
          </w:p>
        </w:tc>
        <w:tc>
          <w:tcPr>
            <w:tcW w:w="9195" w:type="dxa"/>
            <w:gridSpan w:val="4"/>
          </w:tcPr>
          <w:p w14:paraId="08449302" w14:textId="77777777" w:rsidR="005C6014" w:rsidRDefault="00E643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evers</w:t>
            </w: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 w14:paraId="49C86B2C" w14:textId="77777777" w:rsidR="005C6014" w:rsidRDefault="00E643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Outcomes</w:t>
            </w:r>
          </w:p>
        </w:tc>
      </w:tr>
      <w:tr w:rsidR="005C6014" w14:paraId="1602D19A" w14:textId="77777777">
        <w:tc>
          <w:tcPr>
            <w:tcW w:w="2175" w:type="dxa"/>
          </w:tcPr>
          <w:p w14:paraId="10BEE4E9" w14:textId="77777777" w:rsidR="005C6014" w:rsidRDefault="00E643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(Existing resources, strategies, talents, conditions)</w:t>
            </w:r>
          </w:p>
        </w:tc>
        <w:tc>
          <w:tcPr>
            <w:tcW w:w="1755" w:type="dxa"/>
          </w:tcPr>
          <w:p w14:paraId="06607A5E" w14:textId="77777777" w:rsidR="005C6014" w:rsidRDefault="00E643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igvazys16cwg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Community Partners</w:t>
            </w:r>
          </w:p>
          <w:p w14:paraId="3E4312B5" w14:textId="77777777" w:rsidR="005C6014" w:rsidRDefault="00E643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0F91A5B" wp14:editId="1F7508C0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28575</wp:posOffset>
                  </wp:positionV>
                  <wp:extent cx="191708" cy="442913"/>
                  <wp:effectExtent l="125602" t="-125602" r="125602" b="-125602"/>
                  <wp:wrapSquare wrapText="bothSides" distT="0" distB="0" distL="0" distR="0"/>
                  <wp:docPr id="1" name="image2.png" descr="/Users/anna.prince/Desktop/Screen Shot 2017-10-24 at 11.45.5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/Users/anna.prince/Desktop/Screen Shot 2017-10-24 at 11.45.50 AM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708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14:paraId="2E318A30" w14:textId="77777777" w:rsidR="005C6014" w:rsidRDefault="00E643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67DD729B" wp14:editId="3582A1BD">
                  <wp:simplePos x="0" y="0"/>
                  <wp:positionH relativeFrom="margin">
                    <wp:posOffset>314325</wp:posOffset>
                  </wp:positionH>
                  <wp:positionV relativeFrom="paragraph">
                    <wp:posOffset>333375</wp:posOffset>
                  </wp:positionV>
                  <wp:extent cx="191708" cy="442913"/>
                  <wp:effectExtent l="125602" t="-125602" r="125602" b="-125602"/>
                  <wp:wrapSquare wrapText="bothSides" distT="0" distB="0" distL="0" distR="0"/>
                  <wp:docPr id="4" name="image5.png" descr="/Users/anna.prince/Desktop/Screen Shot 2017-10-24 at 11.45.5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/Users/anna.prince/Desktop/Screen Shot 2017-10-24 at 11.45.50 AM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708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5" w:type="dxa"/>
          </w:tcPr>
          <w:p w14:paraId="3D8F2483" w14:textId="77777777" w:rsidR="005C6014" w:rsidRDefault="00E643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Principals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F83AC0B" wp14:editId="296C20C7">
                  <wp:simplePos x="0" y="0"/>
                  <wp:positionH relativeFrom="margin">
                    <wp:posOffset>581025</wp:posOffset>
                  </wp:positionH>
                  <wp:positionV relativeFrom="paragraph">
                    <wp:posOffset>333375</wp:posOffset>
                  </wp:positionV>
                  <wp:extent cx="191708" cy="442913"/>
                  <wp:effectExtent l="125602" t="-125602" r="125602" b="-125602"/>
                  <wp:wrapSquare wrapText="bothSides" distT="0" distB="0" distL="0" distR="0"/>
                  <wp:docPr id="5" name="image6.png" descr="/Users/anna.prince/Desktop/Screen Shot 2017-10-24 at 11.45.5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/Users/anna.prince/Desktop/Screen Shot 2017-10-24 at 11.45.50 AM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708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5" w:type="dxa"/>
          </w:tcPr>
          <w:p w14:paraId="37787D99" w14:textId="77777777" w:rsidR="005C6014" w:rsidRDefault="00E643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Teacher</w: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43232A8" wp14:editId="04CE3200">
                  <wp:simplePos x="0" y="0"/>
                  <wp:positionH relativeFrom="margin">
                    <wp:posOffset>542925</wp:posOffset>
                  </wp:positionH>
                  <wp:positionV relativeFrom="paragraph">
                    <wp:posOffset>333375</wp:posOffset>
                  </wp:positionV>
                  <wp:extent cx="191708" cy="442913"/>
                  <wp:effectExtent l="125602" t="-125602" r="125602" b="-125602"/>
                  <wp:wrapSquare wrapText="bothSides" distT="0" distB="0" distL="0" distR="0"/>
                  <wp:docPr id="3" name="image4.png" descr="/Users/anna.prince/Desktop/Screen Shot 2017-10-24 at 11.45.5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/Users/anna.prince/Desktop/Screen Shot 2017-10-24 at 11.45.50 AM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708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5" w:type="dxa"/>
            <w:vMerge w:val="restart"/>
            <w:tcBorders>
              <w:bottom w:val="single" w:sz="4" w:space="0" w:color="000000"/>
            </w:tcBorders>
          </w:tcPr>
          <w:p w14:paraId="24771F6A" w14:textId="77777777" w:rsidR="005C6014" w:rsidRDefault="00E643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Short Term</w:t>
            </w:r>
          </w:p>
          <w:p w14:paraId="08FCEE44" w14:textId="77777777" w:rsidR="005C6014" w:rsidRDefault="00E643DE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7560CABE" wp14:editId="1D4EC353">
                  <wp:simplePos x="0" y="0"/>
                  <wp:positionH relativeFrom="margin">
                    <wp:posOffset>333375</wp:posOffset>
                  </wp:positionH>
                  <wp:positionV relativeFrom="paragraph">
                    <wp:posOffset>152400</wp:posOffset>
                  </wp:positionV>
                  <wp:extent cx="191708" cy="442913"/>
                  <wp:effectExtent l="125602" t="-125602" r="125602" b="-125602"/>
                  <wp:wrapSquare wrapText="bothSides" distT="0" distB="0" distL="114300" distR="114300"/>
                  <wp:docPr id="2" name="image3.png" descr="/Users/anna.prince/Desktop/Screen Shot 2017-10-24 at 11.45.5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/Users/anna.prince/Desktop/Screen Shot 2017-10-24 at 11.45.50 AM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708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A4D687D" w14:textId="77777777" w:rsidR="005C6014" w:rsidRDefault="00E643DE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71A81AFF" wp14:editId="59208C4A">
                  <wp:simplePos x="0" y="0"/>
                  <wp:positionH relativeFrom="margin">
                    <wp:posOffset>1314450</wp:posOffset>
                  </wp:positionH>
                  <wp:positionV relativeFrom="paragraph">
                    <wp:posOffset>0</wp:posOffset>
                  </wp:positionV>
                  <wp:extent cx="191708" cy="442913"/>
                  <wp:effectExtent l="0" t="0" r="0" b="0"/>
                  <wp:wrapSquare wrapText="bothSides" distT="0" distB="0" distL="114300" distR="114300"/>
                  <wp:docPr id="6" name="image7.png" descr="/Users/anna.prince/Desktop/Screen Shot 2017-10-24 at 11.45.50 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/Users/anna.prince/Desktop/Screen Shot 2017-10-24 at 11.45.50 AM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8" cy="442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6AE6FAF" w14:textId="77777777" w:rsidR="005C6014" w:rsidRDefault="00E643DE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According to  Spring 2017 MAP data, the combined math/reading index was a 68.1 on the MAP assessment.  By spring 2018, the combined math/reading index will be 75.1. </w:t>
            </w:r>
          </w:p>
          <w:p w14:paraId="5CFF521B" w14:textId="77777777" w:rsidR="005C6014" w:rsidRDefault="005C6014">
            <w:pPr>
              <w:rPr>
                <w:rFonts w:ascii="Times" w:eastAsia="Times" w:hAnsi="Times" w:cs="Times"/>
                <w:b/>
              </w:rPr>
            </w:pPr>
          </w:p>
          <w:p w14:paraId="49FDC53A" w14:textId="77777777" w:rsidR="005C6014" w:rsidRDefault="00E643DE">
            <w:pPr>
              <w:widowControl w:val="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Based on Spring 2017 MAP data, the percentage of GAP students scoring at proficiency or </w:t>
            </w:r>
            <w:r>
              <w:rPr>
                <w:rFonts w:ascii="Times" w:eastAsia="Times" w:hAnsi="Times" w:cs="Times"/>
                <w:b/>
              </w:rPr>
              <w:t xml:space="preserve">better was 56.5% (combined math/reading) on the MAP assessment. By spring 2018, the combined </w:t>
            </w:r>
            <w:r>
              <w:rPr>
                <w:rFonts w:ascii="Times" w:eastAsia="Times" w:hAnsi="Times" w:cs="Times"/>
                <w:b/>
              </w:rPr>
              <w:lastRenderedPageBreak/>
              <w:t xml:space="preserve">percentage of GAP students scoring at proficiency or better in math/reading will increase to 64.5%. </w:t>
            </w:r>
            <w:r>
              <w:rPr>
                <w:rFonts w:ascii="Times" w:eastAsia="Times" w:hAnsi="Times" w:cs="Times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27841FBC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C224B9" w14:textId="77777777" w:rsidR="005C6014" w:rsidRDefault="00E643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</w:t>
            </w:r>
          </w:p>
          <w:p w14:paraId="3D07943D" w14:textId="77777777" w:rsidR="005C6014" w:rsidRDefault="00E643D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114300" distR="114300" wp14:anchorId="50B2E333" wp14:editId="79C30014">
                      <wp:extent cx="247650" cy="217449"/>
                      <wp:effectExtent l="0" t="0" r="0" b="0"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103" y="3611090"/>
                                <a:ext cx="391795" cy="337820"/>
                              </a:xfrm>
                              <a:prstGeom prst="star5">
                                <a:avLst>
                                  <a:gd name="adj" fmla="val 157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6015EB5" w14:textId="77777777" w:rsidR="005C6014" w:rsidRDefault="005C60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47650" cy="217449"/>
                      <wp:effectExtent b="0" l="0" r="0" t="0"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1744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Start Here: Expected Results and Long Term Impact for </w:t>
            </w:r>
          </w:p>
          <w:p w14:paraId="66CEC97D" w14:textId="77777777" w:rsidR="005C6014" w:rsidRDefault="005C6014">
            <w:pPr>
              <w:widowControl w:val="0"/>
              <w:rPr>
                <w:rFonts w:ascii="Times" w:eastAsia="Times" w:hAnsi="Times" w:cs="Times"/>
                <w:b/>
              </w:rPr>
            </w:pPr>
          </w:p>
          <w:p w14:paraId="2614BEBE" w14:textId="77777777" w:rsidR="005C6014" w:rsidRDefault="00E643DE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According to  Spring 2017 MAP data, the combined math/reading index was a 68.1 on the MAP assessment.  By spring 2019, the combined math/reading index will be 80. </w:t>
            </w:r>
          </w:p>
          <w:p w14:paraId="04E63BF2" w14:textId="77777777" w:rsidR="005C6014" w:rsidRDefault="005C6014">
            <w:pPr>
              <w:widowControl w:val="0"/>
              <w:rPr>
                <w:rFonts w:ascii="Times" w:eastAsia="Times" w:hAnsi="Times" w:cs="Times"/>
                <w:b/>
              </w:rPr>
            </w:pPr>
          </w:p>
          <w:p w14:paraId="0F9659E1" w14:textId="77777777" w:rsidR="005C6014" w:rsidRDefault="00E643D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Based on Spring 2017 MAP data, the </w:t>
            </w:r>
            <w:r>
              <w:rPr>
                <w:rFonts w:ascii="Times" w:eastAsia="Times" w:hAnsi="Times" w:cs="Times"/>
                <w:b/>
              </w:rPr>
              <w:t xml:space="preserve">percentage of GAP students scoring at proficiency or better was 56.5% (combined math/reading) on the MAP assessment. By spring 2019, the combined percentage of GAP students scoring at proficiency or better in math/reading will increase to 70.5%. </w:t>
            </w:r>
            <w:r>
              <w:rPr>
                <w:rFonts w:ascii="Times" w:eastAsia="Times" w:hAnsi="Times" w:cs="Times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C6014" w14:paraId="24A28E11" w14:textId="77777777">
        <w:tc>
          <w:tcPr>
            <w:tcW w:w="2175" w:type="dxa"/>
          </w:tcPr>
          <w:p w14:paraId="052FB1A7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</w:t>
            </w:r>
            <w:r>
              <w:rPr>
                <w:rFonts w:ascii="Arial" w:eastAsia="Arial" w:hAnsi="Arial" w:cs="Arial"/>
                <w:sz w:val="20"/>
                <w:szCs w:val="20"/>
              </w:rPr>
              <w:t>/Review of the 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radual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elease of responsibility</w:t>
            </w:r>
          </w:p>
          <w:p w14:paraId="11BF09B2" w14:textId="77777777" w:rsidR="005C6014" w:rsidRDefault="005C601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E3A3B7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District Resource Teachers will provide resources to </w:t>
            </w:r>
            <w:r>
              <w:rPr>
                <w:rFonts w:ascii="Arial" w:eastAsia="Arial" w:hAnsi="Arial" w:cs="Arial"/>
                <w:sz w:val="20"/>
                <w:szCs w:val="20"/>
              </w:rPr>
              <w:t>LEES teachers on formative assessments that correlate with the Gradual Release Model</w:t>
            </w:r>
          </w:p>
          <w:p w14:paraId="000C8A36" w14:textId="77777777" w:rsidR="005C6014" w:rsidRDefault="005C601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1EEE37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PLCs weekly to introduce/review formative assessment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strate</w:t>
            </w:r>
            <w:r>
              <w:rPr>
                <w:rFonts w:ascii="Arial" w:eastAsia="Arial" w:hAnsi="Arial" w:cs="Arial"/>
                <w:sz w:val="20"/>
                <w:szCs w:val="20"/>
              </w:rPr>
              <w:t>gies and common assessments.</w:t>
            </w:r>
          </w:p>
          <w:p w14:paraId="49A5A174" w14:textId="77777777" w:rsidR="005C6014" w:rsidRDefault="005C601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2FAEC9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Google Drive will be used to store and share ideas for formative assessments strategies</w:t>
            </w:r>
          </w:p>
          <w:p w14:paraId="2A515872" w14:textId="77777777" w:rsidR="005C6014" w:rsidRDefault="005C601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BAD7F9" w14:textId="77777777" w:rsidR="005C6014" w:rsidRDefault="005C6014"/>
          <w:p w14:paraId="53FC14AB" w14:textId="77777777" w:rsidR="005C6014" w:rsidRDefault="005C6014"/>
          <w:p w14:paraId="08B1BA38" w14:textId="77777777" w:rsidR="005C6014" w:rsidRDefault="005C6014"/>
          <w:p w14:paraId="25419E82" w14:textId="77777777" w:rsidR="005C6014" w:rsidRDefault="005C6014"/>
          <w:p w14:paraId="616AA27D" w14:textId="77777777" w:rsidR="005C6014" w:rsidRDefault="005C6014"/>
          <w:p w14:paraId="52E87744" w14:textId="77777777" w:rsidR="005C6014" w:rsidRDefault="005C6014"/>
          <w:p w14:paraId="3B344E16" w14:textId="77777777" w:rsidR="005C6014" w:rsidRDefault="005C6014"/>
          <w:p w14:paraId="60A4686C" w14:textId="77777777" w:rsidR="005C6014" w:rsidRDefault="005C6014"/>
          <w:p w14:paraId="1E46ED8C" w14:textId="77777777" w:rsidR="005C6014" w:rsidRDefault="005C6014"/>
          <w:p w14:paraId="2213E66F" w14:textId="77777777" w:rsidR="005C6014" w:rsidRDefault="005C6014"/>
          <w:p w14:paraId="707BEA3E" w14:textId="77777777" w:rsidR="005C6014" w:rsidRDefault="005C6014"/>
          <w:p w14:paraId="5CD63605" w14:textId="77777777" w:rsidR="005C6014" w:rsidRDefault="005C6014"/>
          <w:p w14:paraId="20E3546E" w14:textId="77777777" w:rsidR="005C6014" w:rsidRDefault="005C6014"/>
          <w:p w14:paraId="4C2AC80B" w14:textId="77777777" w:rsidR="005C6014" w:rsidRDefault="005C6014"/>
        </w:tc>
        <w:tc>
          <w:tcPr>
            <w:tcW w:w="1755" w:type="dxa"/>
          </w:tcPr>
          <w:p w14:paraId="20491DCC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By Feb. 2018,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Family Resource Centers will offer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training 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parents to be better informed of the common core standards and strategies for helping their child. </w:t>
            </w:r>
          </w:p>
          <w:p w14:paraId="3008DFBF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7C648C" w14:textId="77777777" w:rsidR="005C6014" w:rsidRDefault="00E6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May 2018, </w:t>
            </w:r>
            <w:r>
              <w:rPr>
                <w:sz w:val="20"/>
                <w:szCs w:val="20"/>
              </w:rPr>
              <w:t xml:space="preserve">KVEC will provide trainings and support for teachers and support staff. </w:t>
            </w:r>
          </w:p>
          <w:p w14:paraId="422A379C" w14:textId="77777777" w:rsidR="005C6014" w:rsidRDefault="005C6014">
            <w:pPr>
              <w:rPr>
                <w:sz w:val="20"/>
                <w:szCs w:val="20"/>
              </w:rPr>
            </w:pPr>
          </w:p>
          <w:p w14:paraId="68A432F6" w14:textId="77777777" w:rsidR="005C6014" w:rsidRDefault="005C6014"/>
          <w:p w14:paraId="7E43F8A8" w14:textId="77777777" w:rsidR="005C6014" w:rsidRDefault="005C6014"/>
          <w:p w14:paraId="10A73773" w14:textId="77777777" w:rsidR="005C6014" w:rsidRDefault="005C6014"/>
          <w:p w14:paraId="7A06F856" w14:textId="77777777" w:rsidR="005C6014" w:rsidRDefault="005C6014"/>
          <w:p w14:paraId="7871F8F8" w14:textId="77777777" w:rsidR="005C6014" w:rsidRDefault="005C6014"/>
          <w:p w14:paraId="47693A81" w14:textId="77777777" w:rsidR="005C6014" w:rsidRDefault="005C6014"/>
          <w:p w14:paraId="2AF63CCF" w14:textId="77777777" w:rsidR="005C6014" w:rsidRDefault="005C6014"/>
          <w:p w14:paraId="438791CA" w14:textId="77777777" w:rsidR="005C6014" w:rsidRDefault="005C6014"/>
          <w:p w14:paraId="42F0BBE3" w14:textId="77777777" w:rsidR="005C6014" w:rsidRDefault="005C6014"/>
          <w:p w14:paraId="2864D493" w14:textId="77777777" w:rsidR="005C6014" w:rsidRDefault="005C6014"/>
        </w:tc>
        <w:tc>
          <w:tcPr>
            <w:tcW w:w="1890" w:type="dxa"/>
          </w:tcPr>
          <w:p w14:paraId="3F3BCE77" w14:textId="77777777" w:rsidR="005C6014" w:rsidRDefault="00E643D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By June 2018, district will complete three cycles of Instructional Program Data Collection.</w:t>
            </w:r>
          </w:p>
          <w:p w14:paraId="746C7482" w14:textId="77777777" w:rsidR="005C6014" w:rsidRDefault="005C601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BE91CA" w14:textId="77777777" w:rsidR="005C6014" w:rsidRDefault="00E643D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By June 2018, district will have completed final round of classroom observation calibration in order to triangulate data with instructional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program data, principal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learning walks, and calibration findings. </w:t>
            </w:r>
          </w:p>
          <w:p w14:paraId="4CEBE83F" w14:textId="77777777" w:rsidR="005C6014" w:rsidRDefault="00E643D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398817" w14:textId="77777777" w:rsidR="005C6014" w:rsidRDefault="00E643D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May 2018, District Resource Teachers will have shared resources and provided professional development for 100% teachers on formative assessment techniques.</w:t>
            </w:r>
          </w:p>
          <w:p w14:paraId="67268D9B" w14:textId="77777777" w:rsidR="005C6014" w:rsidRDefault="005C6014"/>
          <w:p w14:paraId="4D135670" w14:textId="77777777" w:rsidR="005C6014" w:rsidRDefault="005C6014"/>
          <w:p w14:paraId="79E7EC70" w14:textId="77777777" w:rsidR="005C6014" w:rsidRDefault="005C6014"/>
          <w:p w14:paraId="51667827" w14:textId="77777777" w:rsidR="005C6014" w:rsidRDefault="005C6014"/>
          <w:p w14:paraId="631C468F" w14:textId="77777777" w:rsidR="005C6014" w:rsidRDefault="005C6014"/>
          <w:p w14:paraId="4ECBC659" w14:textId="77777777" w:rsidR="005C6014" w:rsidRDefault="005C6014"/>
          <w:p w14:paraId="7A851B78" w14:textId="77777777" w:rsidR="005C6014" w:rsidRDefault="005C6014"/>
        </w:tc>
        <w:tc>
          <w:tcPr>
            <w:tcW w:w="2805" w:type="dxa"/>
          </w:tcPr>
          <w:p w14:paraId="5F7BD44F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By May 2018, 100% of teachers will receive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observation and a coaching session. </w:t>
            </w:r>
          </w:p>
          <w:p w14:paraId="2C8CD582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E7AAE7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May 2018, the principal will 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ideo during observations </w:t>
            </w:r>
            <w:r>
              <w:rPr>
                <w:rFonts w:ascii="Arial" w:eastAsia="Arial" w:hAnsi="Arial" w:cs="Arial"/>
                <w:sz w:val="20"/>
                <w:szCs w:val="20"/>
              </w:rPr>
              <w:t>to create a collection of resources for teachers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($600 video camera)</w:t>
            </w:r>
          </w:p>
          <w:p w14:paraId="1F942F1F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E06B84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By Dec. 2017,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Communication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will be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stablish a </w:t>
            </w:r>
            <w:r>
              <w:rPr>
                <w:rFonts w:ascii="Arial" w:eastAsia="Arial" w:hAnsi="Arial" w:cs="Arial"/>
                <w:sz w:val="20"/>
                <w:szCs w:val="20"/>
              </w:rPr>
              <w:t>“Team Drive” for sharing formative asse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ssments and strategies by Dec. 2017. </w:t>
            </w:r>
          </w:p>
          <w:p w14:paraId="468963B8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C36F99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By May 2018, the principal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will facilitate weekly </w:t>
            </w:r>
            <w:r>
              <w:rPr>
                <w:rFonts w:ascii="Arial" w:eastAsia="Arial" w:hAnsi="Arial" w:cs="Arial"/>
                <w:sz w:val="20"/>
                <w:szCs w:val="20"/>
              </w:rPr>
              <w:t>PLCs for curriculum, instruction, and assessment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79D0DAF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22C8E4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May 2018, the principal will participate in continuous p</w:t>
            </w:r>
            <w:r>
              <w:rPr>
                <w:rFonts w:ascii="Arial" w:eastAsia="Arial" w:hAnsi="Arial" w:cs="Arial"/>
                <w:sz w:val="20"/>
                <w:szCs w:val="20"/>
              </w:rPr>
              <w:t>rofessional learning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strategies/coaching, collabo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ration with other principals </w:t>
            </w:r>
          </w:p>
          <w:p w14:paraId="0481B643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39DD3C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By May 2018, principal will complete one </w:t>
            </w:r>
            <w:r>
              <w:rPr>
                <w:rFonts w:ascii="Arial" w:eastAsia="Arial" w:hAnsi="Arial" w:cs="Arial"/>
                <w:sz w:val="20"/>
                <w:szCs w:val="20"/>
              </w:rPr>
              <w:t>Micro Credentialing for formative assessments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9E95023" w14:textId="77777777" w:rsidR="005C6014" w:rsidRDefault="005C6014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6B44CF8" w14:textId="77777777" w:rsidR="005C6014" w:rsidRDefault="005C6014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DF9A268" w14:textId="77777777" w:rsidR="005C6014" w:rsidRDefault="005C6014">
            <w:pPr>
              <w:rPr>
                <w:rFonts w:ascii="Arial" w:eastAsia="Arial" w:hAnsi="Arial" w:cs="Arial"/>
                <w:b/>
              </w:rPr>
            </w:pPr>
          </w:p>
          <w:p w14:paraId="2CD8413B" w14:textId="77777777" w:rsidR="005C6014" w:rsidRDefault="005C6014"/>
          <w:p w14:paraId="7F4B38EA" w14:textId="77777777" w:rsidR="005C6014" w:rsidRDefault="005C6014"/>
        </w:tc>
        <w:tc>
          <w:tcPr>
            <w:tcW w:w="2745" w:type="dxa"/>
          </w:tcPr>
          <w:p w14:paraId="03D369F7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By Dec. 2018, </w:t>
            </w:r>
            <w:r>
              <w:rPr>
                <w:rFonts w:ascii="Arial" w:eastAsia="Arial" w:hAnsi="Arial" w:cs="Arial"/>
                <w:sz w:val="20"/>
                <w:szCs w:val="20"/>
              </w:rPr>
              <w:t>Micro-Credentialing</w:t>
            </w:r>
          </w:p>
          <w:p w14:paraId="6094CD12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teachers will complete a micro-credential in Formative Assessments. ($1000)</w:t>
            </w:r>
          </w:p>
          <w:p w14:paraId="478C090D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440592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Dec. 2018, teachers from each grade level will n</w:t>
            </w:r>
            <w:r>
              <w:rPr>
                <w:rFonts w:ascii="Arial" w:eastAsia="Arial" w:hAnsi="Arial" w:cs="Arial"/>
                <w:sz w:val="20"/>
                <w:szCs w:val="20"/>
              </w:rPr>
              <w:t>etwork with high performing schools. Teachers will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share with other staff members their findings. ($500 for travel expenses)</w:t>
            </w:r>
          </w:p>
          <w:p w14:paraId="6696A7AD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AB786E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May 2018, Monthly v</w:t>
            </w:r>
            <w:r>
              <w:rPr>
                <w:rFonts w:ascii="Arial" w:eastAsia="Arial" w:hAnsi="Arial" w:cs="Arial"/>
                <w:sz w:val="20"/>
                <w:szCs w:val="20"/>
              </w:rPr>
              <w:t>ideos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instructional strategies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used 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coaching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mento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ring during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PLC. </w:t>
            </w:r>
          </w:p>
          <w:p w14:paraId="1937F2F9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70FA39" w14:textId="77777777" w:rsidR="005C6014" w:rsidRDefault="005C6014"/>
          <w:p w14:paraId="133C264A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95A699" w14:textId="77777777" w:rsidR="005C6014" w:rsidRDefault="00E64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August 2018,Purchase instructional materials to assist with formative assessments ($1,400 ex. whiteboards, chart paper, Kagan Mats, etc.)</w:t>
            </w:r>
          </w:p>
          <w:p w14:paraId="5924FA85" w14:textId="77777777" w:rsidR="005C6014" w:rsidRDefault="005C60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ABB055" w14:textId="77777777" w:rsidR="005C6014" w:rsidRDefault="005C6014"/>
        </w:tc>
        <w:tc>
          <w:tcPr>
            <w:tcW w:w="3015" w:type="dxa"/>
            <w:vMerge/>
            <w:tcBorders>
              <w:bottom w:val="single" w:sz="4" w:space="0" w:color="000000"/>
            </w:tcBorders>
          </w:tcPr>
          <w:p w14:paraId="27989BED" w14:textId="77777777" w:rsidR="005C6014" w:rsidRDefault="005C6014"/>
        </w:tc>
      </w:tr>
    </w:tbl>
    <w:p w14:paraId="0B30FA25" w14:textId="77777777" w:rsidR="005C6014" w:rsidRDefault="005C6014"/>
    <w:sectPr w:rsidR="005C6014">
      <w:headerReference w:type="even" r:id="rId13"/>
      <w:headerReference w:type="default" r:id="rId14"/>
      <w:headerReference w:type="first" r:id="rId15"/>
      <w:pgSz w:w="15840" w:h="12240"/>
      <w:pgMar w:top="288" w:right="720" w:bottom="28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7BC85" w14:textId="77777777" w:rsidR="00E643DE" w:rsidRDefault="00E643DE">
      <w:r>
        <w:separator/>
      </w:r>
    </w:p>
  </w:endnote>
  <w:endnote w:type="continuationSeparator" w:id="0">
    <w:p w14:paraId="6E16A766" w14:textId="77777777" w:rsidR="00E643DE" w:rsidRDefault="00E6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0C76" w14:textId="77777777" w:rsidR="00E643DE" w:rsidRDefault="00E643DE">
      <w:r>
        <w:separator/>
      </w:r>
    </w:p>
  </w:footnote>
  <w:footnote w:type="continuationSeparator" w:id="0">
    <w:p w14:paraId="76C21A6E" w14:textId="77777777" w:rsidR="00E643DE" w:rsidRDefault="00E643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06E2" w14:textId="77777777" w:rsidR="005C6014" w:rsidRDefault="005C6014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6CD8" w14:textId="77777777" w:rsidR="005C6014" w:rsidRDefault="00E643DE">
    <w:pPr>
      <w:tabs>
        <w:tab w:val="center" w:pos="4680"/>
        <w:tab w:val="right" w:pos="9360"/>
      </w:tabs>
      <w:spacing w:before="720"/>
    </w:pPr>
    <w:r>
      <w:t xml:space="preserve">Louisa East </w:t>
    </w:r>
    <w:r>
      <w:t>Act Theory of Action Draft</w:t>
    </w:r>
  </w:p>
  <w:p w14:paraId="35634FD2" w14:textId="77777777" w:rsidR="005C6014" w:rsidRDefault="005C6014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6C126" w14:textId="77777777" w:rsidR="005C6014" w:rsidRDefault="005C6014">
    <w:pPr>
      <w:tabs>
        <w:tab w:val="center" w:pos="4680"/>
        <w:tab w:val="right" w:pos="936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014"/>
    <w:rsid w:val="0015318C"/>
    <w:rsid w:val="005C6014"/>
    <w:rsid w:val="00E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2E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9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Macintosh Word</Application>
  <DocSecurity>0</DocSecurity>
  <Lines>32</Lines>
  <Paragraphs>9</Paragraphs>
  <ScaleCrop>false</ScaleCrop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Carroll, Jennifer L</cp:lastModifiedBy>
  <cp:revision>2</cp:revision>
  <dcterms:created xsi:type="dcterms:W3CDTF">2018-01-04T15:12:00Z</dcterms:created>
  <dcterms:modified xsi:type="dcterms:W3CDTF">2018-01-04T15:12:00Z</dcterms:modified>
</cp:coreProperties>
</file>