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351" w:rsidRDefault="00C74351">
      <w:bookmarkStart w:id="0" w:name="_gjdgxs" w:colFirst="0" w:colLast="0"/>
      <w:bookmarkStart w:id="1" w:name="_GoBack"/>
      <w:bookmarkEnd w:id="0"/>
      <w:bookmarkEnd w:id="1"/>
    </w:p>
    <w:tbl>
      <w:tblPr>
        <w:tblStyle w:val="a"/>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3"/>
        <w:gridCol w:w="2183"/>
        <w:gridCol w:w="2075"/>
        <w:gridCol w:w="2003"/>
        <w:gridCol w:w="1993"/>
        <w:gridCol w:w="3553"/>
      </w:tblGrid>
      <w:tr w:rsidR="00C74351">
        <w:tc>
          <w:tcPr>
            <w:tcW w:w="14390" w:type="dxa"/>
            <w:gridSpan w:val="6"/>
          </w:tcPr>
          <w:p w:rsidR="00C74351" w:rsidRDefault="0016384D">
            <w:pPr>
              <w:rPr>
                <w:rFonts w:ascii="Palatino Linotype" w:eastAsia="Palatino Linotype" w:hAnsi="Palatino Linotype" w:cs="Palatino Linotype"/>
                <w:b/>
              </w:rPr>
            </w:pPr>
            <w:r>
              <w:rPr>
                <w:rFonts w:ascii="Arial" w:eastAsia="Arial" w:hAnsi="Arial" w:cs="Arial"/>
                <w:b/>
                <w:sz w:val="20"/>
                <w:szCs w:val="20"/>
              </w:rPr>
              <w:t>Problem of Practice Statement/Question</w:t>
            </w:r>
            <w:r>
              <w:rPr>
                <w:rFonts w:ascii="Arial" w:eastAsia="Arial" w:hAnsi="Arial" w:cs="Arial"/>
                <w:b/>
              </w:rPr>
              <w:t xml:space="preserve">: </w:t>
            </w:r>
            <w:r>
              <w:rPr>
                <w:b/>
                <w:i/>
              </w:rPr>
              <w:t>How can we adapt our communication practices to improve both school culture and student academic achievement? (Strengthen the bond between our school and our entire school community including parents, businesses, and community members)</w:t>
            </w:r>
          </w:p>
        </w:tc>
      </w:tr>
      <w:tr w:rsidR="00C74351">
        <w:tc>
          <w:tcPr>
            <w:tcW w:w="2583" w:type="dxa"/>
          </w:tcPr>
          <w:p w:rsidR="00C74351" w:rsidRDefault="0016384D">
            <w:pPr>
              <w:jc w:val="center"/>
              <w:rPr>
                <w:rFonts w:ascii="Arial" w:eastAsia="Arial" w:hAnsi="Arial" w:cs="Arial"/>
                <w:b/>
                <w:sz w:val="20"/>
                <w:szCs w:val="20"/>
              </w:rPr>
            </w:pPr>
            <w:r>
              <w:rPr>
                <w:rFonts w:ascii="Arial" w:eastAsia="Arial" w:hAnsi="Arial" w:cs="Arial"/>
                <w:b/>
                <w:sz w:val="20"/>
                <w:szCs w:val="20"/>
              </w:rPr>
              <w:t>Inputs</w:t>
            </w:r>
          </w:p>
        </w:tc>
        <w:tc>
          <w:tcPr>
            <w:tcW w:w="8254" w:type="dxa"/>
            <w:gridSpan w:val="4"/>
          </w:tcPr>
          <w:p w:rsidR="00C74351" w:rsidRDefault="0016384D">
            <w:pPr>
              <w:jc w:val="center"/>
              <w:rPr>
                <w:rFonts w:ascii="Arial" w:eastAsia="Arial" w:hAnsi="Arial" w:cs="Arial"/>
                <w:b/>
                <w:sz w:val="20"/>
                <w:szCs w:val="20"/>
              </w:rPr>
            </w:pPr>
            <w:r>
              <w:rPr>
                <w:rFonts w:ascii="Arial" w:eastAsia="Arial" w:hAnsi="Arial" w:cs="Arial"/>
                <w:b/>
                <w:sz w:val="20"/>
                <w:szCs w:val="20"/>
              </w:rPr>
              <w:t>Levers</w:t>
            </w:r>
          </w:p>
        </w:tc>
        <w:tc>
          <w:tcPr>
            <w:tcW w:w="3553" w:type="dxa"/>
            <w:tcBorders>
              <w:bottom w:val="single" w:sz="4" w:space="0" w:color="000000"/>
            </w:tcBorders>
          </w:tcPr>
          <w:p w:rsidR="00C74351" w:rsidRDefault="0016384D">
            <w:pPr>
              <w:jc w:val="center"/>
              <w:rPr>
                <w:rFonts w:ascii="Arial" w:eastAsia="Arial" w:hAnsi="Arial" w:cs="Arial"/>
                <w:b/>
                <w:sz w:val="20"/>
                <w:szCs w:val="20"/>
              </w:rPr>
            </w:pPr>
            <w:r>
              <w:rPr>
                <w:rFonts w:ascii="Arial" w:eastAsia="Arial" w:hAnsi="Arial" w:cs="Arial"/>
                <w:b/>
                <w:sz w:val="20"/>
                <w:szCs w:val="20"/>
              </w:rPr>
              <w:t>Outcomes</w:t>
            </w:r>
          </w:p>
        </w:tc>
      </w:tr>
      <w:tr w:rsidR="00C74351">
        <w:tc>
          <w:tcPr>
            <w:tcW w:w="2583" w:type="dxa"/>
          </w:tcPr>
          <w:p w:rsidR="00C74351" w:rsidRDefault="0016384D">
            <w:pPr>
              <w:rPr>
                <w:rFonts w:ascii="Arial" w:eastAsia="Arial" w:hAnsi="Arial" w:cs="Arial"/>
                <w:b/>
                <w:sz w:val="20"/>
                <w:szCs w:val="20"/>
              </w:rPr>
            </w:pPr>
            <w:r>
              <w:rPr>
                <w:rFonts w:ascii="Arial" w:eastAsia="Arial" w:hAnsi="Arial" w:cs="Arial"/>
                <w:b/>
                <w:sz w:val="20"/>
                <w:szCs w:val="20"/>
              </w:rPr>
              <w:t>(Existing resources, strategies, talents, conditions)</w:t>
            </w:r>
          </w:p>
        </w:tc>
        <w:tc>
          <w:tcPr>
            <w:tcW w:w="2183" w:type="dxa"/>
          </w:tcPr>
          <w:p w:rsidR="00C74351" w:rsidRDefault="0016384D">
            <w:pPr>
              <w:jc w:val="center"/>
              <w:rPr>
                <w:rFonts w:ascii="Arial" w:eastAsia="Arial" w:hAnsi="Arial" w:cs="Arial"/>
                <w:b/>
                <w:sz w:val="20"/>
                <w:szCs w:val="20"/>
              </w:rPr>
            </w:pPr>
            <w:r>
              <w:rPr>
                <w:rFonts w:ascii="Arial" w:eastAsia="Arial" w:hAnsi="Arial" w:cs="Arial"/>
                <w:b/>
                <w:sz w:val="20"/>
                <w:szCs w:val="20"/>
              </w:rPr>
              <w:t>Community Partners</w:t>
            </w:r>
          </w:p>
        </w:tc>
        <w:tc>
          <w:tcPr>
            <w:tcW w:w="2075" w:type="dxa"/>
          </w:tcPr>
          <w:p w:rsidR="00C74351" w:rsidRDefault="0016384D">
            <w:pPr>
              <w:jc w:val="center"/>
              <w:rPr>
                <w:rFonts w:ascii="Arial" w:eastAsia="Arial" w:hAnsi="Arial" w:cs="Arial"/>
                <w:b/>
                <w:sz w:val="20"/>
                <w:szCs w:val="20"/>
              </w:rPr>
            </w:pPr>
            <w:r>
              <w:rPr>
                <w:rFonts w:ascii="Arial" w:eastAsia="Arial" w:hAnsi="Arial" w:cs="Arial"/>
                <w:b/>
                <w:sz w:val="20"/>
                <w:szCs w:val="20"/>
              </w:rPr>
              <w:t>District</w:t>
            </w:r>
          </w:p>
        </w:tc>
        <w:tc>
          <w:tcPr>
            <w:tcW w:w="2003" w:type="dxa"/>
          </w:tcPr>
          <w:p w:rsidR="00C74351" w:rsidRDefault="0016384D">
            <w:pPr>
              <w:jc w:val="center"/>
              <w:rPr>
                <w:rFonts w:ascii="Arial" w:eastAsia="Arial" w:hAnsi="Arial" w:cs="Arial"/>
                <w:b/>
                <w:sz w:val="20"/>
                <w:szCs w:val="20"/>
              </w:rPr>
            </w:pPr>
            <w:r>
              <w:rPr>
                <w:rFonts w:ascii="Arial" w:eastAsia="Arial" w:hAnsi="Arial" w:cs="Arial"/>
                <w:b/>
                <w:sz w:val="20"/>
                <w:szCs w:val="20"/>
              </w:rPr>
              <w:t>Principals</w:t>
            </w:r>
          </w:p>
        </w:tc>
        <w:tc>
          <w:tcPr>
            <w:tcW w:w="1993" w:type="dxa"/>
          </w:tcPr>
          <w:p w:rsidR="00C74351" w:rsidRDefault="0016384D">
            <w:pPr>
              <w:jc w:val="center"/>
              <w:rPr>
                <w:rFonts w:ascii="Arial" w:eastAsia="Arial" w:hAnsi="Arial" w:cs="Arial"/>
                <w:b/>
                <w:sz w:val="20"/>
                <w:szCs w:val="20"/>
              </w:rPr>
            </w:pPr>
            <w:r>
              <w:rPr>
                <w:rFonts w:ascii="Arial" w:eastAsia="Arial" w:hAnsi="Arial" w:cs="Arial"/>
                <w:b/>
                <w:sz w:val="20"/>
                <w:szCs w:val="20"/>
              </w:rPr>
              <w:t>Teacher</w:t>
            </w:r>
          </w:p>
        </w:tc>
        <w:tc>
          <w:tcPr>
            <w:tcW w:w="3553" w:type="dxa"/>
            <w:vMerge w:val="restart"/>
            <w:tcBorders>
              <w:bottom w:val="single" w:sz="4" w:space="0" w:color="000000"/>
            </w:tcBorders>
          </w:tcPr>
          <w:p w:rsidR="00C74351" w:rsidRDefault="0016384D">
            <w:pPr>
              <w:jc w:val="center"/>
              <w:rPr>
                <w:rFonts w:ascii="Arial" w:eastAsia="Arial" w:hAnsi="Arial" w:cs="Arial"/>
                <w:b/>
                <w:sz w:val="20"/>
                <w:szCs w:val="20"/>
              </w:rPr>
            </w:pPr>
            <w:r>
              <w:rPr>
                <w:rFonts w:ascii="Arial" w:eastAsia="Arial" w:hAnsi="Arial" w:cs="Arial"/>
                <w:b/>
                <w:sz w:val="20"/>
                <w:szCs w:val="20"/>
              </w:rPr>
              <w:t>Short Term</w:t>
            </w:r>
          </w:p>
          <w:p w:rsidR="00C74351" w:rsidRDefault="00C74351">
            <w:pPr>
              <w:rPr>
                <w:rFonts w:ascii="Arial" w:eastAsia="Arial" w:hAnsi="Arial" w:cs="Arial"/>
                <w:b/>
                <w:sz w:val="20"/>
                <w:szCs w:val="20"/>
              </w:rPr>
            </w:pPr>
          </w:p>
          <w:p w:rsidR="00C74351" w:rsidRDefault="0016384D">
            <w:r>
              <w:rPr>
                <w:b/>
              </w:rPr>
              <w:t>-</w:t>
            </w:r>
            <w:r>
              <w:t>Students participate in goal setting, tracking and reflecting on specific learning and achievement goals</w:t>
            </w:r>
          </w:p>
          <w:p w:rsidR="00C74351" w:rsidRDefault="00C74351"/>
          <w:p w:rsidR="00C74351" w:rsidRDefault="0016384D">
            <w:r>
              <w:t>-Implement PROVE program to promote positive behavior, student leadership, and stakeholder engagement</w:t>
            </w:r>
          </w:p>
          <w:p w:rsidR="00C74351" w:rsidRDefault="00C74351"/>
          <w:p w:rsidR="00C74351" w:rsidRDefault="0016384D">
            <w:r>
              <w:t xml:space="preserve">-Parent Support Group-recruit more parents to be part of our school by volunteering and assisting our staff and students in normal everyday tasks </w:t>
            </w:r>
          </w:p>
          <w:p w:rsidR="00C74351" w:rsidRDefault="00C74351">
            <w:pPr>
              <w:rPr>
                <w:rFonts w:ascii="Arial" w:eastAsia="Arial" w:hAnsi="Arial" w:cs="Arial"/>
                <w:b/>
                <w:sz w:val="20"/>
                <w:szCs w:val="20"/>
              </w:rPr>
            </w:pPr>
          </w:p>
          <w:p w:rsidR="00C74351" w:rsidRDefault="0016384D">
            <w:pPr>
              <w:rPr>
                <w:rFonts w:ascii="Arial" w:eastAsia="Arial" w:hAnsi="Arial" w:cs="Arial"/>
                <w:b/>
                <w:sz w:val="20"/>
                <w:szCs w:val="20"/>
              </w:rPr>
            </w:pPr>
            <w:r>
              <w:rPr>
                <w:rFonts w:ascii="Arial" w:eastAsia="Arial" w:hAnsi="Arial" w:cs="Arial"/>
                <w:b/>
                <w:sz w:val="20"/>
                <w:szCs w:val="20"/>
              </w:rPr>
              <w:t>_________________________</w:t>
            </w:r>
          </w:p>
          <w:p w:rsidR="00C74351" w:rsidRDefault="0016384D">
            <w:pPr>
              <w:rPr>
                <w:rFonts w:ascii="Arial" w:eastAsia="Arial" w:hAnsi="Arial" w:cs="Arial"/>
                <w:b/>
                <w:sz w:val="20"/>
                <w:szCs w:val="20"/>
              </w:rPr>
            </w:pPr>
            <w:r>
              <w:rPr>
                <w:rFonts w:ascii="Arial" w:eastAsia="Arial" w:hAnsi="Arial" w:cs="Arial"/>
                <w:b/>
                <w:sz w:val="20"/>
                <w:szCs w:val="20"/>
              </w:rPr>
              <w:t xml:space="preserve"> Start Here:</w:t>
            </w:r>
            <w:r>
              <w:rPr>
                <w:noProof/>
              </w:rPr>
              <mc:AlternateContent>
                <mc:Choice Requires="wps">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63500</wp:posOffset>
                      </wp:positionV>
                      <wp:extent cx="404495" cy="350520"/>
                      <wp:effectExtent l="0" t="0" r="0" b="0"/>
                      <wp:wrapSquare wrapText="bothSides" distT="0" distB="0" distL="114300" distR="114300"/>
                      <wp:docPr id="1" name="5-Point Star 1"/>
                      <wp:cNvGraphicFramePr/>
                      <a:graphic xmlns:a="http://schemas.openxmlformats.org/drawingml/2006/main">
                        <a:graphicData uri="http://schemas.microsoft.com/office/word/2010/wordprocessingShape">
                          <wps:wsp>
                            <wps:cNvSpPr/>
                            <wps:spPr>
                              <a:xfrm>
                                <a:off x="5150103" y="3611090"/>
                                <a:ext cx="391795" cy="337820"/>
                              </a:xfrm>
                              <a:prstGeom prst="star5">
                                <a:avLst>
                                  <a:gd name="adj" fmla="val 15736"/>
                                  <a:gd name="hf" fmla="val 105146"/>
                                  <a:gd name="vf" fmla="val 110557"/>
                                </a:avLst>
                              </a:prstGeom>
                              <a:solidFill>
                                <a:srgbClr val="FFFF00"/>
                              </a:solidFill>
                              <a:ln w="12700" cap="flat" cmpd="sng">
                                <a:solidFill>
                                  <a:srgbClr val="31538F"/>
                                </a:solidFill>
                                <a:prstDash val="solid"/>
                                <a:miter lim="800000"/>
                                <a:headEnd type="none" w="sm" len="sm"/>
                                <a:tailEnd type="none" w="sm" len="sm"/>
                              </a:ln>
                            </wps:spPr>
                            <wps:txbx>
                              <w:txbxContent>
                                <w:p w:rsidR="00C74351" w:rsidRDefault="00C74351">
                                  <w:pPr>
                                    <w:textDirection w:val="btLr"/>
                                  </w:pPr>
                                </w:p>
                              </w:txbxContent>
                            </wps:txbx>
                            <wps:bodyPr spcFirstLastPara="1" wrap="square" lIns="91425" tIns="91425" rIns="91425" bIns="91425" anchor="ctr" anchorCtr="0"/>
                          </wps:wsp>
                        </a:graphicData>
                      </a:graphic>
                    </wp:anchor>
                  </w:drawing>
                </mc:Choice>
                <mc:Fallback>
                  <w:pict>
                    <v:shape id="5-Point Star 1" o:spid="_x0000_s1026" style="position:absolute;margin-left:-1pt;margin-top:5pt;width:31.85pt;height:27.6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391795,3378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" adj="-11796480,,5400" path="m,129035r157794,10160l195898,r38103,139195l391795,129035,257550,204903r59419,132916l195898,245513,74826,337819,134245,204903,,129035xe" fillcolor="yellow" strokecolor="#31538f" strokeweight="1pt">
                      <v:stroke startarrowwidth="narrow" startarrowlength="short" endarrowwidth="narrow" endarrowlength="short" joinstyle="miter"/>
                      <v:formulas/>
                      <v:path arrowok="t" o:connecttype="custom" o:connectlocs="0,129035;157794,139195;195898,0;234001,139195;391795,129035;257550,204903;316969,337819;195898,245513;74826,337819;134245,204903;0,129035" o:connectangles="0,0,0,0,0,0,0,0,0,0,0" textboxrect="0,0,391795,337820"/>
                      <v:textbox inset="2.53958mm,2.53958mm,2.53958mm,2.53958mm">
                        <w:txbxContent>
                          <w:p w:rsidR="00C74351" w:rsidRDefault="00C74351">
                            <w:pPr>
                              <w:textDirection w:val="btLr"/>
                            </w:pPr>
                          </w:p>
                        </w:txbxContent>
                      </v:textbox>
                      <w10:wrap type="square"/>
                    </v:shape>
                  </w:pict>
                </mc:Fallback>
              </mc:AlternateContent>
            </w:r>
          </w:p>
          <w:p w:rsidR="00C74351" w:rsidRDefault="0016384D">
            <w:pPr>
              <w:rPr>
                <w:rFonts w:ascii="Arial" w:eastAsia="Arial" w:hAnsi="Arial" w:cs="Arial"/>
                <w:b/>
                <w:sz w:val="20"/>
                <w:szCs w:val="20"/>
              </w:rPr>
            </w:pPr>
            <w:r>
              <w:rPr>
                <w:rFonts w:ascii="Arial" w:eastAsia="Arial" w:hAnsi="Arial" w:cs="Arial"/>
                <w:b/>
                <w:sz w:val="20"/>
                <w:szCs w:val="20"/>
              </w:rPr>
              <w:t xml:space="preserve">Expected Results and Long Term Impact for </w:t>
            </w:r>
          </w:p>
          <w:p w:rsidR="00C74351" w:rsidRDefault="0016384D">
            <w:pPr>
              <w:rPr>
                <w:rFonts w:ascii="Arial" w:eastAsia="Arial" w:hAnsi="Arial" w:cs="Arial"/>
                <w:b/>
                <w:sz w:val="20"/>
                <w:szCs w:val="20"/>
              </w:rPr>
            </w:pPr>
            <w:r>
              <w:rPr>
                <w:rFonts w:ascii="Arial" w:eastAsia="Arial" w:hAnsi="Arial" w:cs="Arial"/>
                <w:b/>
                <w:sz w:val="20"/>
                <w:szCs w:val="20"/>
              </w:rPr>
              <w:t xml:space="preserve">            Students</w:t>
            </w:r>
          </w:p>
          <w:p w:rsidR="00C74351" w:rsidRDefault="00C74351">
            <w:pPr>
              <w:rPr>
                <w:rFonts w:ascii="Arial" w:eastAsia="Arial" w:hAnsi="Arial" w:cs="Arial"/>
                <w:b/>
                <w:sz w:val="20"/>
                <w:szCs w:val="20"/>
              </w:rPr>
            </w:pPr>
          </w:p>
          <w:p w:rsidR="00C74351" w:rsidRDefault="0016384D">
            <w:r>
              <w:t xml:space="preserve">-Students set goals, track goals, reflect on progress and are able to communicate their results to teachers, parents and other stakeholders and demonstrate a genuine interest in growth and </w:t>
            </w:r>
            <w:r>
              <w:lastRenderedPageBreak/>
              <w:t>improvement as a student and person</w:t>
            </w:r>
          </w:p>
          <w:p w:rsidR="00C74351" w:rsidRDefault="00C74351"/>
          <w:p w:rsidR="00C74351" w:rsidRDefault="0016384D">
            <w:r>
              <w:t>-Observation of improved student behavior/academic dispositions (buy-in) which opens up more opportunities for students to participate in leadership tasks within the school and in programs that offer broader opportunities outside the normal setting</w:t>
            </w:r>
          </w:p>
          <w:p w:rsidR="00C74351" w:rsidRDefault="00C74351"/>
          <w:p w:rsidR="00C74351" w:rsidRDefault="0016384D">
            <w:r>
              <w:t>-Observation of an increase in positive teacher/parent-guardian interactions; parents and community members feel more trust and mutual trust with school personnel, more parent/community support, increased pride for our school, our staff, and our ability to educate the children in our community at high levels</w:t>
            </w:r>
          </w:p>
          <w:p w:rsidR="00C74351" w:rsidRDefault="00C74351">
            <w:pPr>
              <w:rPr>
                <w:rFonts w:ascii="Palatino Linotype" w:eastAsia="Palatino Linotype" w:hAnsi="Palatino Linotype" w:cs="Palatino Linotype"/>
                <w:b/>
                <w:i/>
                <w:sz w:val="20"/>
                <w:szCs w:val="20"/>
              </w:rPr>
            </w:pPr>
          </w:p>
        </w:tc>
      </w:tr>
      <w:tr w:rsidR="00C74351">
        <w:tc>
          <w:tcPr>
            <w:tcW w:w="2583" w:type="dxa"/>
          </w:tcPr>
          <w:p w:rsidR="00C74351" w:rsidRDefault="0016384D">
            <w:r>
              <w:t>-Established PLCs that meet regularly (every Thursday) for teachers to communicate with one another and share information consistently</w:t>
            </w:r>
          </w:p>
          <w:p w:rsidR="00C74351" w:rsidRDefault="00C74351"/>
          <w:p w:rsidR="00C74351" w:rsidRDefault="0016384D">
            <w:r>
              <w:t>-Open Houses for students, teachers, parents, including strategic events to gain more support from parents and community</w:t>
            </w:r>
          </w:p>
          <w:p w:rsidR="00C74351" w:rsidRDefault="00C74351"/>
          <w:p w:rsidR="00C74351" w:rsidRDefault="0016384D">
            <w:r>
              <w:t>-Parent-Teacher Support Group</w:t>
            </w:r>
          </w:p>
          <w:p w:rsidR="00C74351" w:rsidRDefault="00C74351"/>
          <w:p w:rsidR="00C74351" w:rsidRDefault="0016384D">
            <w:r>
              <w:t>-Scheduling—teachers commit one planning per week to team teach and support each other in the classroom environment</w:t>
            </w:r>
          </w:p>
          <w:p w:rsidR="00C74351" w:rsidRDefault="00C74351"/>
          <w:p w:rsidR="00C74351" w:rsidRDefault="0016384D">
            <w:r>
              <w:t xml:space="preserve">-Leadership Team that meets regularly with </w:t>
            </w:r>
            <w:r>
              <w:lastRenderedPageBreak/>
              <w:t>district contact to ensure important tasks are taken care of, and teachers have opportunities to grow as school leaders</w:t>
            </w:r>
          </w:p>
          <w:p w:rsidR="00C74351" w:rsidRDefault="00C74351"/>
          <w:p w:rsidR="00C74351" w:rsidRDefault="0016384D">
            <w:r>
              <w:t>-Planning Committee which meets regularly to plan events that supports school-wide initiatives, including ACT work</w:t>
            </w:r>
          </w:p>
          <w:p w:rsidR="00C74351" w:rsidRDefault="00C74351"/>
          <w:p w:rsidR="00C74351" w:rsidRDefault="00C74351"/>
          <w:p w:rsidR="00C74351" w:rsidRDefault="0016384D">
            <w:r>
              <w:t>-Teachers and Club sponsors that coordinate events and activities with our community and business partners</w:t>
            </w:r>
          </w:p>
          <w:p w:rsidR="00C74351" w:rsidRDefault="00C74351"/>
          <w:p w:rsidR="00C74351" w:rsidRDefault="00C74351"/>
          <w:p w:rsidR="00C74351" w:rsidRDefault="00C74351"/>
          <w:p w:rsidR="00C74351" w:rsidRDefault="00C74351"/>
        </w:tc>
        <w:tc>
          <w:tcPr>
            <w:tcW w:w="2183" w:type="dxa"/>
          </w:tcPr>
          <w:p w:rsidR="00C74351" w:rsidRDefault="0016384D">
            <w:r>
              <w:lastRenderedPageBreak/>
              <w:t>-Eagle Project 1-partnership with community businesses to promote student achievement and build trust and pride within our school community</w:t>
            </w:r>
          </w:p>
          <w:p w:rsidR="00C74351" w:rsidRDefault="00C74351"/>
          <w:p w:rsidR="00C74351" w:rsidRDefault="0016384D">
            <w:r>
              <w:t>-Eagle Project 2-</w:t>
            </w:r>
          </w:p>
          <w:p w:rsidR="00C74351" w:rsidRDefault="0016384D">
            <w:r>
              <w:t>Strengthen the bond with our community and businesses by creating bi-weekly commercials, promotions, and positive messages to post on our facebook page to support our stakeholder’s achievements and their trust in our school achievements</w:t>
            </w:r>
          </w:p>
          <w:p w:rsidR="00C74351" w:rsidRDefault="00C74351"/>
          <w:p w:rsidR="00C74351" w:rsidRDefault="0016384D">
            <w:r>
              <w:t>-Site Based Decision Making Council- invite community members to meetings</w:t>
            </w:r>
          </w:p>
          <w:p w:rsidR="00C74351" w:rsidRDefault="00C74351"/>
          <w:p w:rsidR="00C74351" w:rsidRDefault="0016384D">
            <w:r>
              <w:t>-4H—teach character education, hygiene, soft skills, agriculture, leadership training, etc.</w:t>
            </w:r>
          </w:p>
          <w:p w:rsidR="00C74351" w:rsidRDefault="00C74351"/>
          <w:p w:rsidR="00C74351" w:rsidRDefault="0016384D">
            <w:r>
              <w:t>-Vendor fairs for open houses to invite community businesses into our school and strengthen our partnership</w:t>
            </w:r>
          </w:p>
          <w:p w:rsidR="00C74351" w:rsidRDefault="00C74351"/>
          <w:p w:rsidR="00C74351" w:rsidRDefault="0016384D">
            <w:r>
              <w:t>-Entrepreneurial fair- to promote creativity, business skills, and give students opportunities to showcase projects and get feedback from community business and community leaders.</w:t>
            </w:r>
          </w:p>
        </w:tc>
        <w:tc>
          <w:tcPr>
            <w:tcW w:w="2075" w:type="dxa"/>
          </w:tcPr>
          <w:p w:rsidR="00C74351" w:rsidRDefault="0016384D">
            <w:r>
              <w:lastRenderedPageBreak/>
              <w:t>-District-wide extracurricular recognition</w:t>
            </w:r>
          </w:p>
          <w:p w:rsidR="00C74351" w:rsidRDefault="00C74351"/>
          <w:p w:rsidR="00C74351" w:rsidRDefault="0016384D">
            <w:r>
              <w:t>-Family assistance drive (especially during holiday seasons)</w:t>
            </w:r>
          </w:p>
          <w:p w:rsidR="00C74351" w:rsidRDefault="00C74351"/>
          <w:p w:rsidR="00C74351" w:rsidRDefault="0016384D">
            <w:r>
              <w:t>-Youth Service Centers</w:t>
            </w:r>
          </w:p>
          <w:p w:rsidR="00C74351" w:rsidRDefault="00C74351"/>
          <w:p w:rsidR="00C74351" w:rsidRDefault="0016384D">
            <w:r>
              <w:t>-Back-to-school bashes</w:t>
            </w:r>
          </w:p>
        </w:tc>
        <w:tc>
          <w:tcPr>
            <w:tcW w:w="2003" w:type="dxa"/>
          </w:tcPr>
          <w:p w:rsidR="00C74351" w:rsidRDefault="0016384D">
            <w:pPr>
              <w:rPr>
                <w:i/>
              </w:rPr>
            </w:pPr>
            <w:r>
              <w:rPr>
                <w:i/>
              </w:rPr>
              <w:t>-PETLL facilitated coaching visits to get feedback from educational community</w:t>
            </w:r>
          </w:p>
          <w:p w:rsidR="00C74351" w:rsidRDefault="00C74351">
            <w:pPr>
              <w:rPr>
                <w:i/>
              </w:rPr>
            </w:pPr>
          </w:p>
          <w:p w:rsidR="00C74351" w:rsidRDefault="0016384D">
            <w:pPr>
              <w:rPr>
                <w:i/>
              </w:rPr>
            </w:pPr>
            <w:r>
              <w:rPr>
                <w:i/>
              </w:rPr>
              <w:t>-TELL survey-use data to continue improving our communication efforts and efficiency</w:t>
            </w:r>
          </w:p>
          <w:p w:rsidR="00C74351" w:rsidRDefault="00C74351">
            <w:pPr>
              <w:rPr>
                <w:i/>
              </w:rPr>
            </w:pPr>
          </w:p>
          <w:p w:rsidR="00C74351" w:rsidRDefault="0016384D">
            <w:pPr>
              <w:rPr>
                <w:i/>
              </w:rPr>
            </w:pPr>
            <w:r>
              <w:rPr>
                <w:i/>
              </w:rPr>
              <w:t xml:space="preserve">-Revise and re-implement our schoolwide P.R.O.V.E. PBIS to decrease Behavioral incident reports and to engage students in actively making our school more positive and focused on </w:t>
            </w:r>
            <w:r>
              <w:rPr>
                <w:i/>
              </w:rPr>
              <w:lastRenderedPageBreak/>
              <w:t>growth and kindness</w:t>
            </w:r>
          </w:p>
          <w:p w:rsidR="00C74351" w:rsidRDefault="00C74351">
            <w:pPr>
              <w:rPr>
                <w:i/>
              </w:rPr>
            </w:pPr>
          </w:p>
          <w:p w:rsidR="00C74351" w:rsidRDefault="0016384D">
            <w:pPr>
              <w:rPr>
                <w:i/>
              </w:rPr>
            </w:pPr>
            <w:r>
              <w:rPr>
                <w:i/>
              </w:rPr>
              <w:t>-KVEC ACT PD schedule training that is related to communication, improving interaction with parents, and engaging with community more efficiently</w:t>
            </w:r>
          </w:p>
          <w:p w:rsidR="00C74351" w:rsidRDefault="00C74351">
            <w:pPr>
              <w:rPr>
                <w:i/>
              </w:rPr>
            </w:pPr>
          </w:p>
          <w:p w:rsidR="00C74351" w:rsidRDefault="0016384D">
            <w:pPr>
              <w:rPr>
                <w:rFonts w:ascii="Palatino Linotype" w:eastAsia="Palatino Linotype" w:hAnsi="Palatino Linotype" w:cs="Palatino Linotype"/>
                <w:i/>
                <w:sz w:val="16"/>
                <w:szCs w:val="16"/>
              </w:rPr>
            </w:pPr>
            <w:r>
              <w:rPr>
                <w:i/>
              </w:rPr>
              <w:t>-Increase communication flow-send more letters home via mail carrier and utilize social media more for positive news and posts about student achievements and news</w:t>
            </w:r>
          </w:p>
        </w:tc>
        <w:tc>
          <w:tcPr>
            <w:tcW w:w="1993" w:type="dxa"/>
          </w:tcPr>
          <w:p w:rsidR="00C74351" w:rsidRDefault="0016384D">
            <w:r>
              <w:lastRenderedPageBreak/>
              <w:t>-Parents/ Teachers/ Staff/ Community shout-out board to promote kindness and show appreciation for things done well</w:t>
            </w:r>
          </w:p>
          <w:p w:rsidR="00C74351" w:rsidRDefault="00C74351"/>
          <w:p w:rsidR="00C74351" w:rsidRDefault="0016384D">
            <w:r>
              <w:t>-Positive behavior modeling-be an active member in promoting positive behaviors and consistently rewarding students for the same</w:t>
            </w:r>
          </w:p>
          <w:p w:rsidR="00C74351" w:rsidRDefault="00C74351"/>
          <w:p w:rsidR="00C74351" w:rsidRDefault="0016384D">
            <w:r>
              <w:t xml:space="preserve">-Parental communication-Example: Random weekly Thank You notes sent home </w:t>
            </w:r>
          </w:p>
          <w:p w:rsidR="00C74351" w:rsidRDefault="00C74351"/>
          <w:p w:rsidR="00C74351" w:rsidRDefault="0016384D">
            <w:r>
              <w:lastRenderedPageBreak/>
              <w:t>-Teacher media pages (webpage on district site, Facebook class pages, Google classroom</w:t>
            </w:r>
            <w:r>
              <w:rPr>
                <w:rFonts w:ascii="Palatino Linotype" w:eastAsia="Palatino Linotype" w:hAnsi="Palatino Linotype" w:cs="Palatino Linotype"/>
              </w:rPr>
              <w:t xml:space="preserve">) </w:t>
            </w:r>
            <w:r>
              <w:t>updated weekly with positive news and information that helps all stakeholders feel informed and included</w:t>
            </w:r>
          </w:p>
          <w:p w:rsidR="00C74351" w:rsidRDefault="00C74351"/>
          <w:p w:rsidR="00C74351" w:rsidRDefault="0016384D">
            <w:pPr>
              <w:rPr>
                <w:rFonts w:ascii="Palatino Linotype" w:eastAsia="Palatino Linotype" w:hAnsi="Palatino Linotype" w:cs="Palatino Linotype"/>
                <w:i/>
                <w:sz w:val="16"/>
                <w:szCs w:val="16"/>
              </w:rPr>
            </w:pPr>
            <w:r>
              <w:t>-Provide luncheons and events during and after school that entice parents and community members to interact with our school staff more frequently and increase stakeholder involvement within our school</w:t>
            </w:r>
          </w:p>
        </w:tc>
        <w:tc>
          <w:tcPr>
            <w:tcW w:w="3553" w:type="dxa"/>
            <w:vMerge/>
            <w:tcBorders>
              <w:bottom w:val="single" w:sz="4" w:space="0" w:color="000000"/>
            </w:tcBorders>
          </w:tcPr>
          <w:p w:rsidR="00C74351" w:rsidRDefault="00C74351">
            <w:pPr>
              <w:widowControl w:val="0"/>
              <w:pBdr>
                <w:top w:val="nil"/>
                <w:left w:val="nil"/>
                <w:bottom w:val="nil"/>
                <w:right w:val="nil"/>
                <w:between w:val="nil"/>
              </w:pBdr>
              <w:spacing w:line="276" w:lineRule="auto"/>
              <w:rPr>
                <w:rFonts w:ascii="Palatino Linotype" w:eastAsia="Palatino Linotype" w:hAnsi="Palatino Linotype" w:cs="Palatino Linotype"/>
                <w:i/>
                <w:sz w:val="16"/>
                <w:szCs w:val="16"/>
              </w:rPr>
            </w:pPr>
          </w:p>
        </w:tc>
      </w:tr>
    </w:tbl>
    <w:p w:rsidR="00C74351" w:rsidRDefault="00C74351"/>
    <w:p w:rsidR="00C74351" w:rsidRDefault="0016384D">
      <w:r>
        <w:t>Budget:</w:t>
      </w:r>
    </w:p>
    <w:p w:rsidR="00C74351" w:rsidRDefault="00C74351"/>
    <w:p w:rsidR="00C74351" w:rsidRDefault="00C74351"/>
    <w:p w:rsidR="00C74351" w:rsidRDefault="0016384D">
      <w:r>
        <w:t>Miscellaneous materials needed for showcases, family/community events; easles, art supplies, program copies, etc.=$300.00</w:t>
      </w:r>
    </w:p>
    <w:p w:rsidR="00C74351" w:rsidRDefault="00C74351"/>
    <w:p w:rsidR="00C74351" w:rsidRDefault="00C74351"/>
    <w:p w:rsidR="00C74351" w:rsidRDefault="0016384D">
      <w:r>
        <w:t>Resources:</w:t>
      </w:r>
    </w:p>
    <w:p w:rsidR="00C74351" w:rsidRDefault="00C74351">
      <w:pPr>
        <w:rPr>
          <w:i/>
        </w:rPr>
      </w:pPr>
    </w:p>
    <w:p w:rsidR="00C74351" w:rsidRDefault="0016384D">
      <w:r>
        <w:rPr>
          <w:i/>
        </w:rPr>
        <w:t>Home &amp; School Connection</w:t>
      </w:r>
      <w:r>
        <w:t xml:space="preserve"> monthly newsletter subscription $229.00</w:t>
      </w:r>
    </w:p>
    <w:p w:rsidR="00C74351" w:rsidRDefault="00C74351"/>
    <w:p w:rsidR="00C74351" w:rsidRDefault="0016384D">
      <w:r>
        <w:t>Food for parent luncheons and after school events=3 x $100=$300.00</w:t>
      </w:r>
    </w:p>
    <w:p w:rsidR="00C74351" w:rsidRDefault="00C74351"/>
    <w:p w:rsidR="00C74351" w:rsidRDefault="0016384D">
      <w:r>
        <w:t>Envelopes and stamps for positive communication with parents and community partners=$171.00 to support 3 mailing cycles.</w:t>
      </w:r>
    </w:p>
    <w:p w:rsidR="00C74351" w:rsidRDefault="00C74351"/>
    <w:p w:rsidR="00C74351" w:rsidRDefault="0016384D">
      <w:r>
        <w:t>ChromeBooks used to create positive messages, commercials for our community and business partners, letter writing, etc.=$4,000.00.</w:t>
      </w:r>
    </w:p>
    <w:p w:rsidR="00C74351" w:rsidRDefault="00C74351"/>
    <w:sectPr w:rsidR="00C74351">
      <w:headerReference w:type="even" r:id="rId6"/>
      <w:headerReference w:type="default" r:id="rId7"/>
      <w:headerReference w:type="first" r:id="rId8"/>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630" w:rsidRDefault="00236630">
      <w:r>
        <w:separator/>
      </w:r>
    </w:p>
  </w:endnote>
  <w:endnote w:type="continuationSeparator" w:id="0">
    <w:p w:rsidR="00236630" w:rsidRDefault="0023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630" w:rsidRDefault="00236630">
      <w:r>
        <w:separator/>
      </w:r>
    </w:p>
  </w:footnote>
  <w:footnote w:type="continuationSeparator" w:id="0">
    <w:p w:rsidR="00236630" w:rsidRDefault="00236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351" w:rsidRDefault="00C7435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351" w:rsidRDefault="0016384D">
    <w:pPr>
      <w:pBdr>
        <w:top w:val="nil"/>
        <w:left w:val="nil"/>
        <w:bottom w:val="nil"/>
        <w:right w:val="nil"/>
        <w:between w:val="nil"/>
      </w:pBdr>
      <w:tabs>
        <w:tab w:val="center" w:pos="4680"/>
        <w:tab w:val="right" w:pos="9360"/>
      </w:tabs>
      <w:rPr>
        <w:color w:val="000000"/>
      </w:rPr>
    </w:pPr>
    <w:r>
      <w:rPr>
        <w:color w:val="000000"/>
      </w:rPr>
      <w:t>Act Theory of Action Template</w:t>
    </w:r>
  </w:p>
  <w:p w:rsidR="00C74351" w:rsidRDefault="00C74351">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4351" w:rsidRDefault="00C74351">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351"/>
    <w:rsid w:val="0016384D"/>
    <w:rsid w:val="00236630"/>
    <w:rsid w:val="003B75C8"/>
    <w:rsid w:val="00976AFB"/>
    <w:rsid w:val="00C74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99CAD-882B-407C-B1DA-867B895E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Letcher County Schools</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Warf, Ricky</dc:creator>
  <cp:lastModifiedBy>Carroll, Jennifer L</cp:lastModifiedBy>
  <cp:revision>2</cp:revision>
  <dcterms:created xsi:type="dcterms:W3CDTF">2019-10-09T16:15:00Z</dcterms:created>
  <dcterms:modified xsi:type="dcterms:W3CDTF">2019-10-09T16:15:00Z</dcterms:modified>
</cp:coreProperties>
</file>