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DD9D" w14:textId="77777777" w:rsidR="00ED58D3" w:rsidRDefault="00ED58D3">
      <w:bookmarkStart w:id="0" w:name="_GoBack"/>
      <w:bookmarkEnd w:id="0"/>
    </w:p>
    <w:tbl>
      <w:tblPr>
        <w:tblStyle w:val="a"/>
        <w:tblW w:w="14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6"/>
        <w:gridCol w:w="2161"/>
        <w:gridCol w:w="2047"/>
        <w:gridCol w:w="1981"/>
        <w:gridCol w:w="2060"/>
        <w:gridCol w:w="3595"/>
      </w:tblGrid>
      <w:tr w:rsidR="00ED58D3" w14:paraId="1B1CF7DE" w14:textId="77777777">
        <w:tc>
          <w:tcPr>
            <w:tcW w:w="14390" w:type="dxa"/>
            <w:gridSpan w:val="6"/>
          </w:tcPr>
          <w:p w14:paraId="669FBE41" w14:textId="77777777" w:rsidR="00ED58D3" w:rsidRDefault="00A75C1E">
            <w:pPr>
              <w:rPr>
                <w:rFonts w:ascii="Arial" w:eastAsia="Arial" w:hAnsi="Arial" w:cs="Arial"/>
                <w:b/>
              </w:rPr>
            </w:pPr>
            <w:r>
              <w:rPr>
                <w:rFonts w:ascii="Arial" w:eastAsia="Arial" w:hAnsi="Arial" w:cs="Arial"/>
                <w:b/>
              </w:rPr>
              <w:t>Problem of Practice Statement</w:t>
            </w:r>
          </w:p>
          <w:p w14:paraId="1952A4DF" w14:textId="77777777" w:rsidR="00ED58D3" w:rsidRDefault="00ED58D3">
            <w:pPr>
              <w:rPr>
                <w:rFonts w:ascii="Arial" w:eastAsia="Arial" w:hAnsi="Arial" w:cs="Arial"/>
                <w:b/>
              </w:rPr>
            </w:pPr>
          </w:p>
          <w:p w14:paraId="128BD003" w14:textId="77777777" w:rsidR="00ED58D3" w:rsidRDefault="00A75C1E">
            <w:pPr>
              <w:spacing w:line="276" w:lineRule="auto"/>
              <w:rPr>
                <w:rFonts w:ascii="Arial" w:eastAsia="Arial" w:hAnsi="Arial" w:cs="Arial"/>
                <w:sz w:val="22"/>
                <w:szCs w:val="22"/>
              </w:rPr>
            </w:pPr>
            <w:r>
              <w:rPr>
                <w:rFonts w:ascii="Arial" w:eastAsia="Arial" w:hAnsi="Arial" w:cs="Arial"/>
                <w:color w:val="222222"/>
                <w:sz w:val="22"/>
                <w:szCs w:val="22"/>
              </w:rPr>
              <w:t xml:space="preserve">Based on data gathered through a variety of sources it has been recognized that the </w:t>
            </w:r>
            <w:r>
              <w:rPr>
                <w:rFonts w:ascii="Arial" w:eastAsia="Arial" w:hAnsi="Arial" w:cs="Arial"/>
                <w:sz w:val="22"/>
                <w:szCs w:val="22"/>
              </w:rPr>
              <w:t xml:space="preserve">overall writing needs of our students are not being successfully addressed. As a </w:t>
            </w:r>
            <w:proofErr w:type="gramStart"/>
            <w:r>
              <w:rPr>
                <w:rFonts w:ascii="Arial" w:eastAsia="Arial" w:hAnsi="Arial" w:cs="Arial"/>
                <w:sz w:val="22"/>
                <w:szCs w:val="22"/>
              </w:rPr>
              <w:t>result</w:t>
            </w:r>
            <w:proofErr w:type="gramEnd"/>
            <w:r>
              <w:rPr>
                <w:rFonts w:ascii="Arial" w:eastAsia="Arial" w:hAnsi="Arial" w:cs="Arial"/>
                <w:sz w:val="22"/>
                <w:szCs w:val="22"/>
              </w:rPr>
              <w:t xml:space="preserve"> our students are not able to express themselves through writing adequately. This is preventing the students from communicating their thoughts effectively through writin</w:t>
            </w:r>
            <w:r>
              <w:rPr>
                <w:rFonts w:ascii="Arial" w:eastAsia="Arial" w:hAnsi="Arial" w:cs="Arial"/>
                <w:sz w:val="22"/>
                <w:szCs w:val="22"/>
              </w:rPr>
              <w:t xml:space="preserve">g. </w:t>
            </w:r>
          </w:p>
          <w:p w14:paraId="18B7C421" w14:textId="77777777" w:rsidR="00ED58D3" w:rsidRDefault="00ED58D3">
            <w:pPr>
              <w:spacing w:line="276" w:lineRule="auto"/>
              <w:rPr>
                <w:rFonts w:ascii="Arial" w:eastAsia="Arial" w:hAnsi="Arial" w:cs="Arial"/>
                <w:sz w:val="22"/>
                <w:szCs w:val="22"/>
              </w:rPr>
            </w:pPr>
          </w:p>
          <w:p w14:paraId="5CEBF2F0" w14:textId="77777777" w:rsidR="00ED58D3" w:rsidRDefault="00A75C1E">
            <w:pPr>
              <w:spacing w:line="276" w:lineRule="auto"/>
              <w:rPr>
                <w:rFonts w:ascii="Arial" w:eastAsia="Arial" w:hAnsi="Arial" w:cs="Arial"/>
                <w:b/>
                <w:sz w:val="22"/>
                <w:szCs w:val="22"/>
              </w:rPr>
            </w:pPr>
            <w:r>
              <w:rPr>
                <w:rFonts w:ascii="Arial" w:eastAsia="Arial" w:hAnsi="Arial" w:cs="Arial"/>
                <w:b/>
                <w:sz w:val="22"/>
                <w:szCs w:val="22"/>
              </w:rPr>
              <w:t>Theory of Action Linking Statement</w:t>
            </w:r>
          </w:p>
          <w:p w14:paraId="62D3CFEE" w14:textId="77777777" w:rsidR="00ED58D3" w:rsidRDefault="00A75C1E">
            <w:pPr>
              <w:spacing w:line="276" w:lineRule="auto"/>
              <w:rPr>
                <w:rFonts w:ascii="Arial" w:eastAsia="Arial" w:hAnsi="Arial" w:cs="Arial"/>
                <w:sz w:val="22"/>
                <w:szCs w:val="22"/>
              </w:rPr>
            </w:pPr>
            <w:r>
              <w:rPr>
                <w:rFonts w:ascii="Arial" w:eastAsia="Arial" w:hAnsi="Arial" w:cs="Arial"/>
                <w:sz w:val="22"/>
                <w:szCs w:val="22"/>
              </w:rPr>
              <w:t>We will intentionally focus on professional learning opportunities and the acquisition of reading and writing resources in order for our teachers to gain better proficiency and comfort in teaching reading and writing</w:t>
            </w:r>
            <w:r>
              <w:rPr>
                <w:rFonts w:ascii="Arial" w:eastAsia="Arial" w:hAnsi="Arial" w:cs="Arial"/>
                <w:sz w:val="22"/>
                <w:szCs w:val="22"/>
              </w:rPr>
              <w:t xml:space="preserve"> so that our students will benefit from more </w:t>
            </w:r>
            <w:proofErr w:type="gramStart"/>
            <w:r>
              <w:rPr>
                <w:rFonts w:ascii="Arial" w:eastAsia="Arial" w:hAnsi="Arial" w:cs="Arial"/>
                <w:sz w:val="22"/>
                <w:szCs w:val="22"/>
              </w:rPr>
              <w:t>research based</w:t>
            </w:r>
            <w:proofErr w:type="gramEnd"/>
            <w:r>
              <w:rPr>
                <w:rFonts w:ascii="Arial" w:eastAsia="Arial" w:hAnsi="Arial" w:cs="Arial"/>
                <w:sz w:val="22"/>
                <w:szCs w:val="22"/>
              </w:rPr>
              <w:t xml:space="preserve"> strategies. </w:t>
            </w:r>
          </w:p>
          <w:p w14:paraId="72DCC921" w14:textId="77777777" w:rsidR="00ED58D3" w:rsidRDefault="00ED58D3">
            <w:pPr>
              <w:jc w:val="center"/>
              <w:rPr>
                <w:rFonts w:ascii="Arial" w:eastAsia="Arial" w:hAnsi="Arial" w:cs="Arial"/>
                <w:b/>
              </w:rPr>
            </w:pPr>
          </w:p>
        </w:tc>
      </w:tr>
      <w:tr w:rsidR="00ED58D3" w14:paraId="3CB66706" w14:textId="77777777">
        <w:tc>
          <w:tcPr>
            <w:tcW w:w="2546" w:type="dxa"/>
          </w:tcPr>
          <w:p w14:paraId="415DC34F" w14:textId="77777777" w:rsidR="00ED58D3" w:rsidRDefault="00A75C1E">
            <w:pPr>
              <w:jc w:val="center"/>
              <w:rPr>
                <w:rFonts w:ascii="Arial" w:eastAsia="Arial" w:hAnsi="Arial" w:cs="Arial"/>
                <w:b/>
              </w:rPr>
            </w:pPr>
            <w:r>
              <w:rPr>
                <w:rFonts w:ascii="Arial" w:eastAsia="Arial" w:hAnsi="Arial" w:cs="Arial"/>
                <w:b/>
              </w:rPr>
              <w:t>Inputs</w:t>
            </w:r>
          </w:p>
        </w:tc>
        <w:tc>
          <w:tcPr>
            <w:tcW w:w="8249" w:type="dxa"/>
            <w:gridSpan w:val="4"/>
          </w:tcPr>
          <w:p w14:paraId="451A885D" w14:textId="77777777" w:rsidR="00ED58D3" w:rsidRDefault="00A75C1E">
            <w:pPr>
              <w:jc w:val="center"/>
              <w:rPr>
                <w:rFonts w:ascii="Arial" w:eastAsia="Arial" w:hAnsi="Arial" w:cs="Arial"/>
                <w:b/>
              </w:rPr>
            </w:pPr>
            <w:r>
              <w:rPr>
                <w:rFonts w:ascii="Arial" w:eastAsia="Arial" w:hAnsi="Arial" w:cs="Arial"/>
                <w:b/>
              </w:rPr>
              <w:t>Levers</w:t>
            </w:r>
          </w:p>
        </w:tc>
        <w:tc>
          <w:tcPr>
            <w:tcW w:w="3595" w:type="dxa"/>
            <w:tcBorders>
              <w:bottom w:val="single" w:sz="4" w:space="0" w:color="000000"/>
            </w:tcBorders>
          </w:tcPr>
          <w:p w14:paraId="25EE2962" w14:textId="77777777" w:rsidR="00ED58D3" w:rsidRDefault="00A75C1E">
            <w:pPr>
              <w:jc w:val="center"/>
              <w:rPr>
                <w:rFonts w:ascii="Arial" w:eastAsia="Arial" w:hAnsi="Arial" w:cs="Arial"/>
                <w:b/>
              </w:rPr>
            </w:pPr>
            <w:r>
              <w:rPr>
                <w:rFonts w:ascii="Arial" w:eastAsia="Arial" w:hAnsi="Arial" w:cs="Arial"/>
                <w:b/>
              </w:rPr>
              <w:t>Outcomes</w:t>
            </w:r>
          </w:p>
        </w:tc>
      </w:tr>
      <w:tr w:rsidR="00ED58D3" w14:paraId="7528269B" w14:textId="77777777">
        <w:tc>
          <w:tcPr>
            <w:tcW w:w="2546" w:type="dxa"/>
          </w:tcPr>
          <w:p w14:paraId="3C9B2387" w14:textId="77777777" w:rsidR="00ED58D3" w:rsidRDefault="00A75C1E">
            <w:pPr>
              <w:rPr>
                <w:rFonts w:ascii="Arial" w:eastAsia="Arial" w:hAnsi="Arial" w:cs="Arial"/>
                <w:b/>
              </w:rPr>
            </w:pPr>
            <w:r>
              <w:rPr>
                <w:rFonts w:ascii="Arial" w:eastAsia="Arial" w:hAnsi="Arial" w:cs="Arial"/>
                <w:b/>
              </w:rPr>
              <w:t>(Existing resources, strategies, talents, conditions)</w:t>
            </w:r>
          </w:p>
        </w:tc>
        <w:tc>
          <w:tcPr>
            <w:tcW w:w="2161" w:type="dxa"/>
          </w:tcPr>
          <w:p w14:paraId="26AEBD6C" w14:textId="77777777" w:rsidR="00ED58D3" w:rsidRDefault="00A75C1E">
            <w:pPr>
              <w:jc w:val="center"/>
              <w:rPr>
                <w:rFonts w:ascii="Arial" w:eastAsia="Arial" w:hAnsi="Arial" w:cs="Arial"/>
                <w:b/>
              </w:rPr>
            </w:pPr>
            <w:r>
              <w:rPr>
                <w:rFonts w:ascii="Arial" w:eastAsia="Arial" w:hAnsi="Arial" w:cs="Arial"/>
                <w:b/>
              </w:rPr>
              <w:t>Community Partners</w:t>
            </w:r>
          </w:p>
        </w:tc>
        <w:tc>
          <w:tcPr>
            <w:tcW w:w="2047" w:type="dxa"/>
          </w:tcPr>
          <w:p w14:paraId="18A5A7BC" w14:textId="77777777" w:rsidR="00ED58D3" w:rsidRDefault="00A75C1E">
            <w:pPr>
              <w:jc w:val="center"/>
              <w:rPr>
                <w:rFonts w:ascii="Arial" w:eastAsia="Arial" w:hAnsi="Arial" w:cs="Arial"/>
                <w:b/>
              </w:rPr>
            </w:pPr>
            <w:r>
              <w:rPr>
                <w:rFonts w:ascii="Arial" w:eastAsia="Arial" w:hAnsi="Arial" w:cs="Arial"/>
                <w:b/>
              </w:rPr>
              <w:t>District</w:t>
            </w:r>
          </w:p>
        </w:tc>
        <w:tc>
          <w:tcPr>
            <w:tcW w:w="1981" w:type="dxa"/>
          </w:tcPr>
          <w:p w14:paraId="2620A66C" w14:textId="77777777" w:rsidR="00ED58D3" w:rsidRDefault="00A75C1E">
            <w:pPr>
              <w:jc w:val="center"/>
              <w:rPr>
                <w:rFonts w:ascii="Arial" w:eastAsia="Arial" w:hAnsi="Arial" w:cs="Arial"/>
                <w:b/>
              </w:rPr>
            </w:pPr>
            <w:r>
              <w:rPr>
                <w:rFonts w:ascii="Arial" w:eastAsia="Arial" w:hAnsi="Arial" w:cs="Arial"/>
                <w:b/>
              </w:rPr>
              <w:t>Principals</w:t>
            </w:r>
          </w:p>
        </w:tc>
        <w:tc>
          <w:tcPr>
            <w:tcW w:w="2060" w:type="dxa"/>
          </w:tcPr>
          <w:p w14:paraId="4D9D4FE1" w14:textId="77777777" w:rsidR="00ED58D3" w:rsidRDefault="00A75C1E">
            <w:pPr>
              <w:jc w:val="center"/>
              <w:rPr>
                <w:rFonts w:ascii="Arial" w:eastAsia="Arial" w:hAnsi="Arial" w:cs="Arial"/>
                <w:b/>
              </w:rPr>
            </w:pPr>
            <w:r>
              <w:rPr>
                <w:rFonts w:ascii="Arial" w:eastAsia="Arial" w:hAnsi="Arial" w:cs="Arial"/>
                <w:b/>
              </w:rPr>
              <w:t>Teacher</w:t>
            </w:r>
          </w:p>
        </w:tc>
        <w:tc>
          <w:tcPr>
            <w:tcW w:w="3595" w:type="dxa"/>
            <w:vMerge w:val="restart"/>
            <w:tcBorders>
              <w:bottom w:val="single" w:sz="4" w:space="0" w:color="000000"/>
            </w:tcBorders>
          </w:tcPr>
          <w:p w14:paraId="270E51FE" w14:textId="77777777" w:rsidR="00ED58D3" w:rsidRDefault="00A75C1E">
            <w:pPr>
              <w:jc w:val="center"/>
              <w:rPr>
                <w:rFonts w:ascii="Arial" w:eastAsia="Arial" w:hAnsi="Arial" w:cs="Arial"/>
                <w:b/>
              </w:rPr>
            </w:pPr>
            <w:r>
              <w:rPr>
                <w:rFonts w:ascii="Arial" w:eastAsia="Arial" w:hAnsi="Arial" w:cs="Arial"/>
                <w:b/>
              </w:rPr>
              <w:t>Short Term</w:t>
            </w:r>
          </w:p>
          <w:p w14:paraId="6B6C3C49" w14:textId="77777777" w:rsidR="00ED58D3" w:rsidRDefault="00ED58D3">
            <w:pPr>
              <w:rPr>
                <w:rFonts w:ascii="Arial" w:eastAsia="Arial" w:hAnsi="Arial" w:cs="Arial"/>
                <w:b/>
              </w:rPr>
            </w:pPr>
          </w:p>
          <w:p w14:paraId="3251B382" w14:textId="77777777" w:rsidR="00ED58D3" w:rsidRDefault="00A75C1E">
            <w:pPr>
              <w:numPr>
                <w:ilvl w:val="0"/>
                <w:numId w:val="1"/>
              </w:numPr>
              <w:rPr>
                <w:rFonts w:ascii="Arial" w:eastAsia="Arial" w:hAnsi="Arial" w:cs="Arial"/>
                <w:b/>
              </w:rPr>
            </w:pPr>
            <w:r>
              <w:rPr>
                <w:rFonts w:ascii="Arial" w:eastAsia="Arial" w:hAnsi="Arial" w:cs="Arial"/>
                <w:b/>
              </w:rPr>
              <w:t xml:space="preserve">Students will have increased opportunities to write in all grade levels across all subjects. </w:t>
            </w:r>
          </w:p>
          <w:p w14:paraId="036046CA" w14:textId="77777777" w:rsidR="00ED58D3" w:rsidRDefault="00A75C1E">
            <w:pPr>
              <w:numPr>
                <w:ilvl w:val="0"/>
                <w:numId w:val="1"/>
              </w:numPr>
              <w:rPr>
                <w:rFonts w:ascii="Arial" w:eastAsia="Arial" w:hAnsi="Arial" w:cs="Arial"/>
                <w:b/>
              </w:rPr>
            </w:pPr>
            <w:r>
              <w:rPr>
                <w:rFonts w:ascii="Arial" w:eastAsia="Arial" w:hAnsi="Arial" w:cs="Arial"/>
                <w:b/>
              </w:rPr>
              <w:t xml:space="preserve">Teachers will meet in grade level PLC’s and multi-grade level PLC’s to plan and implement writing instruction. </w:t>
            </w:r>
          </w:p>
          <w:p w14:paraId="1F886E94" w14:textId="77777777" w:rsidR="00ED58D3" w:rsidRDefault="00A75C1E">
            <w:pPr>
              <w:numPr>
                <w:ilvl w:val="0"/>
                <w:numId w:val="1"/>
              </w:numPr>
              <w:rPr>
                <w:rFonts w:ascii="Arial" w:eastAsia="Arial" w:hAnsi="Arial" w:cs="Arial"/>
                <w:b/>
              </w:rPr>
            </w:pPr>
            <w:r>
              <w:rPr>
                <w:rFonts w:ascii="Arial" w:eastAsia="Arial" w:hAnsi="Arial" w:cs="Arial"/>
                <w:b/>
              </w:rPr>
              <w:t>Teachers will gain resources to help gain confiden</w:t>
            </w:r>
            <w:r>
              <w:rPr>
                <w:rFonts w:ascii="Arial" w:eastAsia="Arial" w:hAnsi="Arial" w:cs="Arial"/>
                <w:b/>
              </w:rPr>
              <w:t xml:space="preserve">ce in writing instruction. </w:t>
            </w:r>
          </w:p>
          <w:p w14:paraId="5006EA46" w14:textId="77777777" w:rsidR="00ED58D3" w:rsidRDefault="00A75C1E">
            <w:pPr>
              <w:numPr>
                <w:ilvl w:val="0"/>
                <w:numId w:val="1"/>
              </w:numPr>
              <w:rPr>
                <w:rFonts w:ascii="Arial" w:eastAsia="Arial" w:hAnsi="Arial" w:cs="Arial"/>
                <w:b/>
              </w:rPr>
            </w:pPr>
            <w:r>
              <w:rPr>
                <w:rFonts w:ascii="Arial" w:eastAsia="Arial" w:hAnsi="Arial" w:cs="Arial"/>
                <w:b/>
              </w:rPr>
              <w:t xml:space="preserve">Teachers will gain increased knowledge in available writing resources through professional development and </w:t>
            </w:r>
            <w:r>
              <w:rPr>
                <w:rFonts w:ascii="Arial" w:eastAsia="Arial" w:hAnsi="Arial" w:cs="Arial"/>
                <w:b/>
              </w:rPr>
              <w:lastRenderedPageBreak/>
              <w:t xml:space="preserve">writing instruction research. </w:t>
            </w:r>
          </w:p>
          <w:p w14:paraId="34565659" w14:textId="77777777" w:rsidR="00ED58D3" w:rsidRDefault="00ED58D3">
            <w:pPr>
              <w:rPr>
                <w:rFonts w:ascii="Arial" w:eastAsia="Arial" w:hAnsi="Arial" w:cs="Arial"/>
                <w:b/>
              </w:rPr>
            </w:pPr>
          </w:p>
          <w:p w14:paraId="6F3B62C8" w14:textId="77777777" w:rsidR="00ED58D3" w:rsidRDefault="00ED58D3">
            <w:pPr>
              <w:rPr>
                <w:rFonts w:ascii="Arial" w:eastAsia="Arial" w:hAnsi="Arial" w:cs="Arial"/>
                <w:b/>
              </w:rPr>
            </w:pPr>
          </w:p>
          <w:p w14:paraId="54497350" w14:textId="77777777" w:rsidR="00ED58D3" w:rsidRDefault="00A75C1E">
            <w:pPr>
              <w:rPr>
                <w:rFonts w:ascii="Arial" w:eastAsia="Arial" w:hAnsi="Arial" w:cs="Arial"/>
                <w:b/>
              </w:rPr>
            </w:pPr>
            <w:r>
              <w:rPr>
                <w:rFonts w:ascii="Arial" w:eastAsia="Arial" w:hAnsi="Arial" w:cs="Arial"/>
                <w:b/>
              </w:rPr>
              <w:t>_________________________</w:t>
            </w:r>
          </w:p>
          <w:p w14:paraId="20D9AA31" w14:textId="77777777" w:rsidR="00ED58D3" w:rsidRDefault="00A75C1E">
            <w:pPr>
              <w:rPr>
                <w:rFonts w:ascii="Arial" w:eastAsia="Arial" w:hAnsi="Arial" w:cs="Arial"/>
                <w:b/>
              </w:rPr>
            </w:pPr>
            <w:r>
              <w:rPr>
                <w:rFonts w:ascii="Arial" w:eastAsia="Arial" w:hAnsi="Arial" w:cs="Arial"/>
                <w:b/>
              </w:rPr>
              <w:t xml:space="preserve"> </w:t>
            </w:r>
            <w:r>
              <w:rPr>
                <w:rFonts w:ascii="Arial" w:eastAsia="Arial" w:hAnsi="Arial" w:cs="Arial"/>
                <w:b/>
                <w:color w:val="FF0000"/>
              </w:rPr>
              <w:t>Start Here:</w:t>
            </w:r>
            <w:r>
              <w:rPr>
                <w:noProof/>
              </w:rPr>
              <mc:AlternateContent>
                <mc:Choice Requires="wpg">
                  <w:drawing>
                    <wp:anchor distT="0" distB="0" distL="114300" distR="114300" simplePos="0" relativeHeight="251658240" behindDoc="0" locked="0" layoutInCell="1" hidden="0" allowOverlap="1" wp14:anchorId="153465EF" wp14:editId="1637317B">
                      <wp:simplePos x="0" y="0"/>
                      <wp:positionH relativeFrom="column">
                        <wp:posOffset>-12699</wp:posOffset>
                      </wp:positionH>
                      <wp:positionV relativeFrom="paragraph">
                        <wp:posOffset>63500</wp:posOffset>
                      </wp:positionV>
                      <wp:extent cx="404495" cy="350520"/>
                      <wp:effectExtent l="0" t="0" r="0" b="0"/>
                      <wp:wrapSquare wrapText="bothSides" distT="0" distB="0" distL="114300" distR="114300"/>
                      <wp:docPr id="1" name="5-Point Star 1"/>
                      <wp:cNvGraphicFramePr/>
                      <a:graphic xmlns:a="http://schemas.openxmlformats.org/drawingml/2006/main">
                        <a:graphicData uri="http://schemas.microsoft.com/office/word/2010/wordprocessingShape">
                          <wps:wsp>
                            <wps:cNvSpPr/>
                            <wps:spPr>
                              <a:xfrm>
                                <a:off x="5150103" y="3611090"/>
                                <a:ext cx="391795" cy="337820"/>
                              </a:xfrm>
                              <a:prstGeom prst="star5">
                                <a:avLst>
                                  <a:gd name="adj" fmla="val 15736"/>
                                  <a:gd name="hf" fmla="val 105146"/>
                                  <a:gd name="vf" fmla="val 110557"/>
                                </a:avLst>
                              </a:prstGeom>
                              <a:solidFill>
                                <a:srgbClr val="FFFF00"/>
                              </a:solidFill>
                              <a:ln w="12700" cap="flat" cmpd="sng">
                                <a:solidFill>
                                  <a:srgbClr val="31538F"/>
                                </a:solidFill>
                                <a:prstDash val="solid"/>
                                <a:miter lim="800000"/>
                                <a:headEnd type="none" w="sm" len="sm"/>
                                <a:tailEnd type="none" w="sm" len="sm"/>
                              </a:ln>
                            </wps:spPr>
                            <wps:txbx>
                              <w:txbxContent>
                                <w:p w14:paraId="01FC417A" w14:textId="77777777" w:rsidR="00ED58D3" w:rsidRDefault="00ED58D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63500</wp:posOffset>
                      </wp:positionV>
                      <wp:extent cx="404495" cy="3505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04495" cy="350520"/>
                              </a:xfrm>
                              <a:prstGeom prst="rect"/>
                              <a:ln/>
                            </pic:spPr>
                          </pic:pic>
                        </a:graphicData>
                      </a:graphic>
                    </wp:anchor>
                  </w:drawing>
                </mc:Fallback>
              </mc:AlternateContent>
            </w:r>
          </w:p>
          <w:p w14:paraId="5962E361" w14:textId="77777777" w:rsidR="00ED58D3" w:rsidRDefault="00A75C1E">
            <w:pPr>
              <w:rPr>
                <w:rFonts w:ascii="Arial" w:eastAsia="Arial" w:hAnsi="Arial" w:cs="Arial"/>
                <w:b/>
              </w:rPr>
            </w:pPr>
            <w:r>
              <w:rPr>
                <w:rFonts w:ascii="Arial" w:eastAsia="Arial" w:hAnsi="Arial" w:cs="Arial"/>
                <w:b/>
              </w:rPr>
              <w:t>Long Term Impact on</w:t>
            </w:r>
          </w:p>
          <w:p w14:paraId="41B9E850" w14:textId="77777777" w:rsidR="00ED58D3" w:rsidRDefault="00A75C1E">
            <w:pPr>
              <w:rPr>
                <w:rFonts w:ascii="Arial" w:eastAsia="Arial" w:hAnsi="Arial" w:cs="Arial"/>
                <w:b/>
                <w:u w:val="single"/>
              </w:rPr>
            </w:pPr>
            <w:r>
              <w:rPr>
                <w:rFonts w:ascii="Arial" w:eastAsia="Arial" w:hAnsi="Arial" w:cs="Arial"/>
                <w:b/>
              </w:rPr>
              <w:t xml:space="preserve">        </w:t>
            </w:r>
            <w:r>
              <w:rPr>
                <w:rFonts w:ascii="Arial" w:eastAsia="Arial" w:hAnsi="Arial" w:cs="Arial"/>
                <w:b/>
                <w:u w:val="single"/>
              </w:rPr>
              <w:t>Students</w:t>
            </w:r>
          </w:p>
          <w:p w14:paraId="14122A5E" w14:textId="77777777" w:rsidR="00ED58D3" w:rsidRDefault="00ED58D3">
            <w:pPr>
              <w:rPr>
                <w:rFonts w:ascii="Arial" w:eastAsia="Arial" w:hAnsi="Arial" w:cs="Arial"/>
                <w:b/>
                <w:u w:val="single"/>
              </w:rPr>
            </w:pPr>
          </w:p>
          <w:p w14:paraId="17F021CE" w14:textId="77777777" w:rsidR="00ED58D3" w:rsidRDefault="00A75C1E">
            <w:pPr>
              <w:rPr>
                <w:rFonts w:ascii="Arial" w:eastAsia="Arial" w:hAnsi="Arial" w:cs="Arial"/>
                <w:b/>
              </w:rPr>
            </w:pPr>
            <w:r>
              <w:rPr>
                <w:rFonts w:ascii="Arial" w:eastAsia="Arial" w:hAnsi="Arial" w:cs="Arial"/>
                <w:b/>
              </w:rPr>
              <w:t xml:space="preserve">-Students will gain proficiency in writing skills throughout all grade levels and content areas. </w:t>
            </w:r>
          </w:p>
          <w:p w14:paraId="724DA483" w14:textId="77777777" w:rsidR="00ED58D3" w:rsidRDefault="00ED58D3">
            <w:pPr>
              <w:rPr>
                <w:rFonts w:ascii="Arial" w:eastAsia="Arial" w:hAnsi="Arial" w:cs="Arial"/>
                <w:b/>
              </w:rPr>
            </w:pPr>
          </w:p>
          <w:p w14:paraId="27AD3D23" w14:textId="77777777" w:rsidR="00ED58D3" w:rsidRDefault="00A75C1E">
            <w:pPr>
              <w:rPr>
                <w:rFonts w:ascii="Arial" w:eastAsia="Arial" w:hAnsi="Arial" w:cs="Arial"/>
                <w:b/>
              </w:rPr>
            </w:pPr>
            <w:r>
              <w:rPr>
                <w:rFonts w:ascii="Arial" w:eastAsia="Arial" w:hAnsi="Arial" w:cs="Arial"/>
                <w:b/>
              </w:rPr>
              <w:t>-Students will gain confidence in those writing skills in all subjects (math, reading, science, social studies, art, music, life skills)</w:t>
            </w:r>
          </w:p>
          <w:p w14:paraId="3C0F31D2" w14:textId="77777777" w:rsidR="00ED58D3" w:rsidRDefault="00ED58D3">
            <w:pPr>
              <w:rPr>
                <w:rFonts w:ascii="Arial" w:eastAsia="Arial" w:hAnsi="Arial" w:cs="Arial"/>
                <w:b/>
              </w:rPr>
            </w:pPr>
          </w:p>
          <w:p w14:paraId="2DF7116B" w14:textId="77777777" w:rsidR="00ED58D3" w:rsidRDefault="00A75C1E">
            <w:pPr>
              <w:rPr>
                <w:rFonts w:ascii="Arial" w:eastAsia="Arial" w:hAnsi="Arial" w:cs="Arial"/>
                <w:b/>
              </w:rPr>
            </w:pPr>
            <w:r>
              <w:rPr>
                <w:rFonts w:ascii="Arial" w:eastAsia="Arial" w:hAnsi="Arial" w:cs="Arial"/>
                <w:b/>
              </w:rPr>
              <w:t>-Students will gain</w:t>
            </w:r>
            <w:r>
              <w:rPr>
                <w:rFonts w:ascii="Arial" w:eastAsia="Arial" w:hAnsi="Arial" w:cs="Arial"/>
                <w:b/>
              </w:rPr>
              <w:t xml:space="preserve"> proficiency in written expression in real world applications. </w:t>
            </w:r>
          </w:p>
          <w:p w14:paraId="7A63FE53" w14:textId="77777777" w:rsidR="00ED58D3" w:rsidRDefault="00ED58D3">
            <w:pPr>
              <w:rPr>
                <w:rFonts w:ascii="Arial" w:eastAsia="Arial" w:hAnsi="Arial" w:cs="Arial"/>
                <w:b/>
              </w:rPr>
            </w:pPr>
          </w:p>
          <w:p w14:paraId="6920A8CA" w14:textId="77777777" w:rsidR="00ED58D3" w:rsidRDefault="00A75C1E">
            <w:pPr>
              <w:rPr>
                <w:rFonts w:ascii="Arial" w:eastAsia="Arial" w:hAnsi="Arial" w:cs="Arial"/>
                <w:b/>
              </w:rPr>
            </w:pPr>
            <w:r>
              <w:rPr>
                <w:rFonts w:ascii="Arial" w:eastAsia="Arial" w:hAnsi="Arial" w:cs="Arial"/>
                <w:b/>
              </w:rPr>
              <w:t xml:space="preserve">-Teachers will become more proficient in teaching writing skills through a variety of media. </w:t>
            </w:r>
          </w:p>
          <w:p w14:paraId="24F84A4A" w14:textId="77777777" w:rsidR="00ED58D3" w:rsidRDefault="00ED58D3">
            <w:pPr>
              <w:rPr>
                <w:rFonts w:ascii="Arial" w:eastAsia="Arial" w:hAnsi="Arial" w:cs="Arial"/>
                <w:b/>
              </w:rPr>
            </w:pPr>
          </w:p>
          <w:p w14:paraId="6446CADA" w14:textId="77777777" w:rsidR="00ED58D3" w:rsidRDefault="00A75C1E">
            <w:pPr>
              <w:rPr>
                <w:rFonts w:ascii="Arial" w:eastAsia="Arial" w:hAnsi="Arial" w:cs="Arial"/>
                <w:b/>
              </w:rPr>
            </w:pPr>
            <w:r>
              <w:rPr>
                <w:rFonts w:ascii="Arial" w:eastAsia="Arial" w:hAnsi="Arial" w:cs="Arial"/>
                <w:b/>
              </w:rPr>
              <w:t xml:space="preserve">-Teachers will intentionally focus on adding student writing opportunities at all </w:t>
            </w:r>
            <w:r>
              <w:rPr>
                <w:rFonts w:ascii="Arial" w:eastAsia="Arial" w:hAnsi="Arial" w:cs="Arial"/>
                <w:b/>
              </w:rPr>
              <w:lastRenderedPageBreak/>
              <w:t>grade levels a</w:t>
            </w:r>
            <w:r>
              <w:rPr>
                <w:rFonts w:ascii="Arial" w:eastAsia="Arial" w:hAnsi="Arial" w:cs="Arial"/>
                <w:b/>
              </w:rPr>
              <w:t xml:space="preserve">nd content areas. </w:t>
            </w:r>
          </w:p>
          <w:p w14:paraId="0AE10276" w14:textId="77777777" w:rsidR="00ED58D3" w:rsidRDefault="00ED58D3">
            <w:pPr>
              <w:rPr>
                <w:rFonts w:ascii="Arial" w:eastAsia="Arial" w:hAnsi="Arial" w:cs="Arial"/>
                <w:b/>
              </w:rPr>
            </w:pPr>
          </w:p>
        </w:tc>
      </w:tr>
      <w:tr w:rsidR="00ED58D3" w14:paraId="749A748D" w14:textId="77777777">
        <w:trPr>
          <w:trHeight w:val="4300"/>
        </w:trPr>
        <w:tc>
          <w:tcPr>
            <w:tcW w:w="2546" w:type="dxa"/>
          </w:tcPr>
          <w:p w14:paraId="205DFBED" w14:textId="77777777" w:rsidR="00ED58D3" w:rsidRDefault="00A75C1E">
            <w:r>
              <w:t xml:space="preserve">Teachers have combined existing resource books in the conference room for community library. </w:t>
            </w:r>
          </w:p>
          <w:p w14:paraId="50967110" w14:textId="77777777" w:rsidR="00ED58D3" w:rsidRDefault="00ED58D3"/>
          <w:p w14:paraId="367C54F8" w14:textId="77777777" w:rsidR="00ED58D3" w:rsidRDefault="00A75C1E">
            <w:r>
              <w:t xml:space="preserve">Teachers will visit other schools and other classrooms within out building to see reading and writing education. </w:t>
            </w:r>
          </w:p>
          <w:p w14:paraId="5AD485FC" w14:textId="77777777" w:rsidR="00ED58D3" w:rsidRDefault="00ED58D3"/>
          <w:p w14:paraId="2624F0DC" w14:textId="77777777" w:rsidR="00ED58D3" w:rsidRDefault="00A75C1E">
            <w:r>
              <w:t xml:space="preserve">Teachers will complete peer observations in the building. </w:t>
            </w:r>
          </w:p>
          <w:p w14:paraId="7238F95E" w14:textId="77777777" w:rsidR="00ED58D3" w:rsidRDefault="00ED58D3"/>
          <w:p w14:paraId="0EC37600" w14:textId="77777777" w:rsidR="00ED58D3" w:rsidRDefault="00A75C1E">
            <w:r>
              <w:t xml:space="preserve">Teachers will share exemplary student </w:t>
            </w:r>
            <w:r>
              <w:lastRenderedPageBreak/>
              <w:t>work and strategies across the curriculum i</w:t>
            </w:r>
            <w:r>
              <w:t xml:space="preserve">n grade level bands. </w:t>
            </w:r>
          </w:p>
          <w:p w14:paraId="7B92925F" w14:textId="77777777" w:rsidR="00ED58D3" w:rsidRDefault="00ED58D3"/>
          <w:p w14:paraId="41064571" w14:textId="77777777" w:rsidR="00ED58D3" w:rsidRDefault="00A75C1E">
            <w:r>
              <w:t xml:space="preserve">We will train at least 3 teachers in the Kentucky Literacy Project. </w:t>
            </w:r>
          </w:p>
          <w:p w14:paraId="28A2CE81" w14:textId="77777777" w:rsidR="00ED58D3" w:rsidRDefault="00ED58D3"/>
          <w:p w14:paraId="08D8E529" w14:textId="77777777" w:rsidR="00ED58D3" w:rsidRDefault="00A75C1E">
            <w:r>
              <w:t xml:space="preserve">We have common grade level planning time incorporated into the daily schedule. </w:t>
            </w:r>
          </w:p>
          <w:p w14:paraId="03DC1583" w14:textId="77777777" w:rsidR="00ED58D3" w:rsidRDefault="00ED58D3"/>
          <w:p w14:paraId="2D31FE3C" w14:textId="77777777" w:rsidR="00ED58D3" w:rsidRDefault="00A75C1E">
            <w:r>
              <w:t>We have a full-time certified Librarian that assists our teachers in literacy reso</w:t>
            </w:r>
            <w:r>
              <w:t>urces available and literacy intervention strategies.</w:t>
            </w:r>
          </w:p>
          <w:p w14:paraId="71F30DC0" w14:textId="77777777" w:rsidR="00ED58D3" w:rsidRDefault="00ED58D3"/>
          <w:p w14:paraId="1463634F" w14:textId="77777777" w:rsidR="00ED58D3" w:rsidRDefault="00A75C1E">
            <w:r>
              <w:t xml:space="preserve">We have Response to Intervention times built into the schedule that teachers can move students in and out freely. </w:t>
            </w:r>
          </w:p>
          <w:p w14:paraId="43E5782F" w14:textId="77777777" w:rsidR="00ED58D3" w:rsidRDefault="00ED58D3"/>
          <w:p w14:paraId="55407C8A" w14:textId="77777777" w:rsidR="00ED58D3" w:rsidRDefault="00ED58D3"/>
        </w:tc>
        <w:tc>
          <w:tcPr>
            <w:tcW w:w="2161" w:type="dxa"/>
          </w:tcPr>
          <w:p w14:paraId="25F68F54" w14:textId="77777777" w:rsidR="00ED58D3" w:rsidRDefault="00A75C1E">
            <w:r>
              <w:lastRenderedPageBreak/>
              <w:t>Students will participate in community activities with careers in writing. Each grad</w:t>
            </w:r>
            <w:r>
              <w:t xml:space="preserve">e level will schedule community workers to come in and share with students about their careers, including how they use writing in their jobs. Upper grade levels will go beyond our community with </w:t>
            </w:r>
            <w:r>
              <w:lastRenderedPageBreak/>
              <w:t>virtual conferences across careers not available in our rural</w:t>
            </w:r>
            <w:r>
              <w:t xml:space="preserve"> areas. </w:t>
            </w:r>
          </w:p>
          <w:p w14:paraId="7EE55125" w14:textId="77777777" w:rsidR="00ED58D3" w:rsidRDefault="00ED58D3"/>
          <w:p w14:paraId="3E66EB28" w14:textId="77777777" w:rsidR="00ED58D3" w:rsidRDefault="00A75C1E">
            <w:r>
              <w:t xml:space="preserve">We will schedule a school writing night with the community. This will be an evening event that all of the community will be invited to attend and participate in an interactive storytelling event. March 20th </w:t>
            </w:r>
          </w:p>
          <w:p w14:paraId="0D583AF8" w14:textId="77777777" w:rsidR="00ED58D3" w:rsidRDefault="00ED58D3"/>
          <w:p w14:paraId="0CDB02FB" w14:textId="77777777" w:rsidR="00ED58D3" w:rsidRDefault="00A75C1E">
            <w:r>
              <w:t>The community will have the opportuni</w:t>
            </w:r>
            <w:r>
              <w:t xml:space="preserve">ty to participate in a Fall and Spring Science Day. </w:t>
            </w:r>
          </w:p>
          <w:p w14:paraId="490E0437" w14:textId="77777777" w:rsidR="00ED58D3" w:rsidRDefault="00ED58D3"/>
          <w:p w14:paraId="39C49230" w14:textId="77777777" w:rsidR="00ED58D3" w:rsidRDefault="00A75C1E">
            <w:r>
              <w:t xml:space="preserve">The community will be invited in the school on multiple occasions throughout the year. For example, art night in the </w:t>
            </w:r>
            <w:r>
              <w:lastRenderedPageBreak/>
              <w:t>spring to display student artwork throughout the year, fall carnival to engage and cr</w:t>
            </w:r>
            <w:r>
              <w:t xml:space="preserve">eate a fun school environment for the school year, reading nights, writing nights, Kindergarten night, A Grand event where students invite a Grand person (grandparent, aunt, uncle, </w:t>
            </w:r>
            <w:proofErr w:type="spellStart"/>
            <w:r>
              <w:t>etc</w:t>
            </w:r>
            <w:proofErr w:type="spellEnd"/>
            <w:r>
              <w:t xml:space="preserve">) to school, Kindergarten mother’s day tea party, among others. </w:t>
            </w:r>
          </w:p>
          <w:p w14:paraId="45291DF8" w14:textId="77777777" w:rsidR="00ED58D3" w:rsidRDefault="00ED58D3"/>
          <w:p w14:paraId="556F8776" w14:textId="77777777" w:rsidR="00ED58D3" w:rsidRDefault="00A75C1E">
            <w:r>
              <w:t>Studen</w:t>
            </w:r>
            <w:r>
              <w:t xml:space="preserve">ts had an emphasis on community help activities throughout the year. Kindergarten took donations to help blankets for the homeless, 6th </w:t>
            </w:r>
            <w:r>
              <w:lastRenderedPageBreak/>
              <w:t xml:space="preserve">grade completed Christmas cards for people who could use a Christmas Card, and 4th grade will participate in Angel Tree </w:t>
            </w:r>
            <w:r>
              <w:t xml:space="preserve">project. 5th grade collected items for nursing home residents and the mercy box. Other grade levels will participate in grade level community action projects. </w:t>
            </w:r>
          </w:p>
        </w:tc>
        <w:tc>
          <w:tcPr>
            <w:tcW w:w="2047" w:type="dxa"/>
          </w:tcPr>
          <w:p w14:paraId="32ACA7F0" w14:textId="77777777" w:rsidR="00ED58D3" w:rsidRDefault="00A75C1E">
            <w:r>
              <w:lastRenderedPageBreak/>
              <w:t>District wide focus on writing across all grade levels. Writing will be emphasized for all curri</w:t>
            </w:r>
            <w:r>
              <w:t xml:space="preserve">culums. </w:t>
            </w:r>
            <w:r>
              <w:rPr>
                <w:noProof/>
              </w:rPr>
              <mc:AlternateContent>
                <mc:Choice Requires="wpg">
                  <w:drawing>
                    <wp:anchor distT="0" distB="0" distL="114300" distR="114300" simplePos="0" relativeHeight="251659264" behindDoc="0" locked="0" layoutInCell="1" hidden="0" allowOverlap="1" wp14:anchorId="5E72033D" wp14:editId="56F326E8">
                      <wp:simplePos x="0" y="0"/>
                      <wp:positionH relativeFrom="column">
                        <wp:posOffset>76201</wp:posOffset>
                      </wp:positionH>
                      <wp:positionV relativeFrom="paragraph">
                        <wp:posOffset>3556000</wp:posOffset>
                      </wp:positionV>
                      <wp:extent cx="759320" cy="312647"/>
                      <wp:effectExtent l="0" t="0" r="0" b="0"/>
                      <wp:wrapNone/>
                      <wp:docPr id="2" name="Left Arrow 2"/>
                      <wp:cNvGraphicFramePr/>
                      <a:graphic xmlns:a="http://schemas.openxmlformats.org/drawingml/2006/main">
                        <a:graphicData uri="http://schemas.microsoft.com/office/word/2010/wordprocessingShape">
                          <wps:wsp>
                            <wps:cNvSpPr/>
                            <wps:spPr>
                              <a:xfrm>
                                <a:off x="4972690" y="3630027"/>
                                <a:ext cx="746620" cy="299947"/>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5B0DA103" w14:textId="77777777" w:rsidR="00ED58D3" w:rsidRDefault="00ED58D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3556000</wp:posOffset>
                      </wp:positionV>
                      <wp:extent cx="759320" cy="312647"/>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9320" cy="312647"/>
                              </a:xfrm>
                              <a:prstGeom prst="rect"/>
                              <a:ln/>
                            </pic:spPr>
                          </pic:pic>
                        </a:graphicData>
                      </a:graphic>
                    </wp:anchor>
                  </w:drawing>
                </mc:Fallback>
              </mc:AlternateContent>
            </w:r>
          </w:p>
          <w:p w14:paraId="24B37582" w14:textId="77777777" w:rsidR="00ED58D3" w:rsidRDefault="00ED58D3"/>
          <w:p w14:paraId="13AFD578" w14:textId="77777777" w:rsidR="00ED58D3" w:rsidRDefault="00A75C1E">
            <w:r>
              <w:t xml:space="preserve">The high school media classes will collaborate with the ACT team to push out school success videos. They will have an emphasis on </w:t>
            </w:r>
            <w:proofErr w:type="gramStart"/>
            <w:r>
              <w:t>writing, but</w:t>
            </w:r>
            <w:proofErr w:type="gramEnd"/>
            <w:r>
              <w:t xml:space="preserve"> will have multiple </w:t>
            </w:r>
            <w:r>
              <w:lastRenderedPageBreak/>
              <w:t xml:space="preserve">sources of success.  </w:t>
            </w:r>
          </w:p>
          <w:p w14:paraId="5B9D1CE2" w14:textId="77777777" w:rsidR="00ED58D3" w:rsidRDefault="00ED58D3"/>
          <w:p w14:paraId="3569DE19" w14:textId="77777777" w:rsidR="00ED58D3" w:rsidRDefault="00A75C1E">
            <w:r>
              <w:t>Community bulletin board will display student work on writing throughou</w:t>
            </w:r>
            <w:r>
              <w:t xml:space="preserve">t the year. Each grade level is responsible for the lobby bulletin board each month. They will have an emphasis on writing. </w:t>
            </w:r>
          </w:p>
          <w:p w14:paraId="397A3050" w14:textId="77777777" w:rsidR="00ED58D3" w:rsidRDefault="00ED58D3"/>
          <w:p w14:paraId="1F9C2EA1" w14:textId="77777777" w:rsidR="00ED58D3" w:rsidRDefault="00A75C1E">
            <w:r>
              <w:t xml:space="preserve">Each grade level will continually display student writing throughout the school year. </w:t>
            </w:r>
          </w:p>
          <w:p w14:paraId="45B5877E" w14:textId="77777777" w:rsidR="00ED58D3" w:rsidRDefault="00ED58D3"/>
          <w:p w14:paraId="601BBEAB" w14:textId="77777777" w:rsidR="00ED58D3" w:rsidRDefault="00A75C1E">
            <w:r>
              <w:t xml:space="preserve">6th grade teachers will have transitional </w:t>
            </w:r>
            <w:r>
              <w:t xml:space="preserve">meetings with 7th grade teachers and continue the emphasis on writing </w:t>
            </w:r>
            <w:r>
              <w:lastRenderedPageBreak/>
              <w:t xml:space="preserve">instruction. 6th grade students will create a digital portfolio that will follow them to middle school. </w:t>
            </w:r>
          </w:p>
          <w:p w14:paraId="236E946B" w14:textId="77777777" w:rsidR="00ED58D3" w:rsidRDefault="00ED58D3"/>
          <w:p w14:paraId="64408EBB" w14:textId="77777777" w:rsidR="00ED58D3" w:rsidRDefault="00A75C1E">
            <w:r>
              <w:t>Teachers will collaborate to create common writing strategies that will work for</w:t>
            </w:r>
            <w:r>
              <w:t xml:space="preserve"> all grade levels. </w:t>
            </w:r>
          </w:p>
          <w:p w14:paraId="1BB08F2D" w14:textId="77777777" w:rsidR="00ED58D3" w:rsidRDefault="00ED58D3"/>
          <w:p w14:paraId="5F7172C2" w14:textId="77777777" w:rsidR="00ED58D3" w:rsidRDefault="00A75C1E">
            <w:r>
              <w:t xml:space="preserve">Teachers will work together to create a school and district writing plan. The team will include at least one teacher from each grade level. </w:t>
            </w:r>
          </w:p>
        </w:tc>
        <w:tc>
          <w:tcPr>
            <w:tcW w:w="1981" w:type="dxa"/>
          </w:tcPr>
          <w:p w14:paraId="1E4C6C46" w14:textId="77777777" w:rsidR="00ED58D3" w:rsidRDefault="00A75C1E">
            <w:r>
              <w:lastRenderedPageBreak/>
              <w:t xml:space="preserve">With help of teachers, principal will plan and implement a professional development plan. </w:t>
            </w:r>
            <w:r>
              <w:rPr>
                <w:noProof/>
              </w:rPr>
              <mc:AlternateContent>
                <mc:Choice Requires="wpg">
                  <w:drawing>
                    <wp:anchor distT="0" distB="0" distL="114300" distR="114300" simplePos="0" relativeHeight="251660288" behindDoc="0" locked="0" layoutInCell="1" hidden="0" allowOverlap="1" wp14:anchorId="492873C3" wp14:editId="2FEDE5BE">
                      <wp:simplePos x="0" y="0"/>
                      <wp:positionH relativeFrom="column">
                        <wp:posOffset>127000</wp:posOffset>
                      </wp:positionH>
                      <wp:positionV relativeFrom="paragraph">
                        <wp:posOffset>3556000</wp:posOffset>
                      </wp:positionV>
                      <wp:extent cx="759320" cy="312647"/>
                      <wp:effectExtent l="0" t="0" r="0" b="0"/>
                      <wp:wrapNone/>
                      <wp:docPr id="3" name="Left Arrow 3"/>
                      <wp:cNvGraphicFramePr/>
                      <a:graphic xmlns:a="http://schemas.openxmlformats.org/drawingml/2006/main">
                        <a:graphicData uri="http://schemas.microsoft.com/office/word/2010/wordprocessingShape">
                          <wps:wsp>
                            <wps:cNvSpPr/>
                            <wps:spPr>
                              <a:xfrm>
                                <a:off x="4972690" y="3630027"/>
                                <a:ext cx="746620" cy="299947"/>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6E2E9DB" w14:textId="77777777" w:rsidR="00ED58D3" w:rsidRDefault="00ED58D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127000</wp:posOffset>
                      </wp:positionH>
                      <wp:positionV relativeFrom="paragraph">
                        <wp:posOffset>3556000</wp:posOffset>
                      </wp:positionV>
                      <wp:extent cx="759320" cy="312647"/>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59320" cy="312647"/>
                              </a:xfrm>
                              <a:prstGeom prst="rect"/>
                              <a:ln/>
                            </pic:spPr>
                          </pic:pic>
                        </a:graphicData>
                      </a:graphic>
                    </wp:anchor>
                  </w:drawing>
                </mc:Fallback>
              </mc:AlternateContent>
            </w:r>
          </w:p>
          <w:p w14:paraId="74E26D34" w14:textId="77777777" w:rsidR="00ED58D3" w:rsidRDefault="00ED58D3"/>
          <w:p w14:paraId="2D845170" w14:textId="77777777" w:rsidR="00ED58D3" w:rsidRDefault="00A75C1E">
            <w:r>
              <w:t xml:space="preserve"> Principal will</w:t>
            </w:r>
          </w:p>
          <w:p w14:paraId="4834FEBE" w14:textId="77777777" w:rsidR="00ED58D3" w:rsidRDefault="00A75C1E">
            <w:r>
              <w:t xml:space="preserve"> participate in a set of school specific professional development with the help of Carole Mullins and Jennifer Carroll. </w:t>
            </w:r>
          </w:p>
          <w:p w14:paraId="341D9CAF" w14:textId="77777777" w:rsidR="00ED58D3" w:rsidRDefault="00A75C1E">
            <w:r>
              <w:lastRenderedPageBreak/>
              <w:t>Principal will collaborate with literacy specialist, Carole Mullins from KVEC, to help determine the course of action</w:t>
            </w:r>
            <w:r>
              <w:t xml:space="preserve"> for professional development. </w:t>
            </w:r>
          </w:p>
          <w:p w14:paraId="6F10C15C" w14:textId="77777777" w:rsidR="00ED58D3" w:rsidRDefault="00ED58D3"/>
          <w:p w14:paraId="70D6D3D1" w14:textId="77777777" w:rsidR="00ED58D3" w:rsidRDefault="00A75C1E">
            <w:r>
              <w:t xml:space="preserve">Principal will attend National </w:t>
            </w:r>
            <w:proofErr w:type="gramStart"/>
            <w:r>
              <w:t>Blue Ribbon</w:t>
            </w:r>
            <w:proofErr w:type="gramEnd"/>
            <w:r>
              <w:t xml:space="preserve"> conference with a focus on the literacy strand portion at the conference. </w:t>
            </w:r>
          </w:p>
          <w:p w14:paraId="7C88DA41" w14:textId="77777777" w:rsidR="00ED58D3" w:rsidRDefault="00ED58D3"/>
          <w:p w14:paraId="2929EE05" w14:textId="77777777" w:rsidR="00ED58D3" w:rsidRDefault="00A75C1E">
            <w:r>
              <w:t xml:space="preserve">Principal will aide in the acquisition of reading and writing materials. Principal will develop a purchasing plan for each grade level and aide in the compilation of grade level </w:t>
            </w:r>
            <w:r>
              <w:lastRenderedPageBreak/>
              <w:t>theories of action.</w:t>
            </w:r>
          </w:p>
        </w:tc>
        <w:tc>
          <w:tcPr>
            <w:tcW w:w="2060" w:type="dxa"/>
          </w:tcPr>
          <w:p w14:paraId="489CF9C7" w14:textId="77777777" w:rsidR="00ED58D3" w:rsidRDefault="00A75C1E">
            <w:r>
              <w:lastRenderedPageBreak/>
              <w:t>Teachers will participate in a variety of professional dev</w:t>
            </w:r>
            <w:r>
              <w:t xml:space="preserve">elopment opportunities. Some of them  will include KVEC led literacy standards training, Common Core Companion Book training, training on PLC organization and effective uses of PLC’s. </w:t>
            </w:r>
            <w:r>
              <w:rPr>
                <w:noProof/>
              </w:rPr>
              <mc:AlternateContent>
                <mc:Choice Requires="wpg">
                  <w:drawing>
                    <wp:anchor distT="0" distB="0" distL="114300" distR="114300" simplePos="0" relativeHeight="251661312" behindDoc="0" locked="0" layoutInCell="1" hidden="0" allowOverlap="1" wp14:anchorId="5493850F" wp14:editId="3A6484E3">
                      <wp:simplePos x="0" y="0"/>
                      <wp:positionH relativeFrom="column">
                        <wp:posOffset>88901</wp:posOffset>
                      </wp:positionH>
                      <wp:positionV relativeFrom="paragraph">
                        <wp:posOffset>3556000</wp:posOffset>
                      </wp:positionV>
                      <wp:extent cx="759320" cy="312647"/>
                      <wp:effectExtent l="0" t="0" r="0" b="0"/>
                      <wp:wrapNone/>
                      <wp:docPr id="4" name="Left Arrow 4"/>
                      <wp:cNvGraphicFramePr/>
                      <a:graphic xmlns:a="http://schemas.openxmlformats.org/drawingml/2006/main">
                        <a:graphicData uri="http://schemas.microsoft.com/office/word/2010/wordprocessingShape">
                          <wps:wsp>
                            <wps:cNvSpPr/>
                            <wps:spPr>
                              <a:xfrm>
                                <a:off x="4972690" y="3630027"/>
                                <a:ext cx="746620" cy="299947"/>
                              </a:xfrm>
                              <a:prstGeom prst="leftArrow">
                                <a:avLst>
                                  <a:gd name="adj1" fmla="val 50000"/>
                                  <a:gd name="adj2" fmla="val 50000"/>
                                </a:avLst>
                              </a:prstGeom>
                              <a:solidFill>
                                <a:schemeClr val="accent1"/>
                              </a:solidFill>
                              <a:ln w="12700" cap="flat" cmpd="sng">
                                <a:solidFill>
                                  <a:srgbClr val="31538F"/>
                                </a:solidFill>
                                <a:prstDash val="solid"/>
                                <a:miter lim="800000"/>
                                <a:headEnd type="none" w="sm" len="sm"/>
                                <a:tailEnd type="none" w="sm" len="sm"/>
                              </a:ln>
                            </wps:spPr>
                            <wps:txbx>
                              <w:txbxContent>
                                <w:p w14:paraId="154381C0" w14:textId="77777777" w:rsidR="00ED58D3" w:rsidRDefault="00ED58D3">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3556000</wp:posOffset>
                      </wp:positionV>
                      <wp:extent cx="759320" cy="312647"/>
                      <wp:effectExtent b="0" l="0" r="0" t="0"/>
                      <wp:wrapNone/>
                      <wp:docPr id="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59320" cy="312647"/>
                              </a:xfrm>
                              <a:prstGeom prst="rect"/>
                              <a:ln/>
                            </pic:spPr>
                          </pic:pic>
                        </a:graphicData>
                      </a:graphic>
                    </wp:anchor>
                  </w:drawing>
                </mc:Fallback>
              </mc:AlternateContent>
            </w:r>
          </w:p>
          <w:p w14:paraId="49271777" w14:textId="77777777" w:rsidR="00ED58D3" w:rsidRDefault="00ED58D3"/>
          <w:p w14:paraId="7BBC17B4" w14:textId="77777777" w:rsidR="00ED58D3" w:rsidRDefault="00ED58D3"/>
          <w:p w14:paraId="79E64EAC" w14:textId="77777777" w:rsidR="00ED58D3" w:rsidRDefault="00ED58D3"/>
          <w:p w14:paraId="1365071C" w14:textId="77777777" w:rsidR="00ED58D3" w:rsidRDefault="00A75C1E">
            <w:r>
              <w:t xml:space="preserve">Teachers will be given the opportunities to earn </w:t>
            </w:r>
            <w:proofErr w:type="spellStart"/>
            <w:r>
              <w:t>Microcredentials</w:t>
            </w:r>
            <w:proofErr w:type="spellEnd"/>
            <w:r>
              <w:t xml:space="preserve"> and will be given PD credit. </w:t>
            </w:r>
          </w:p>
          <w:p w14:paraId="25CE82EF" w14:textId="77777777" w:rsidR="00ED58D3" w:rsidRDefault="00ED58D3"/>
          <w:p w14:paraId="7E81C26B" w14:textId="77777777" w:rsidR="00ED58D3" w:rsidRDefault="00A75C1E">
            <w:r>
              <w:t xml:space="preserve">We will have a writing focus across the curriculum in grade level </w:t>
            </w:r>
            <w:proofErr w:type="spellStart"/>
            <w:r>
              <w:t>PLCś</w:t>
            </w:r>
            <w:proofErr w:type="spellEnd"/>
            <w:r>
              <w:t>.</w:t>
            </w:r>
          </w:p>
          <w:p w14:paraId="530C7A88" w14:textId="77777777" w:rsidR="00ED58D3" w:rsidRDefault="00ED58D3"/>
          <w:p w14:paraId="20C59065" w14:textId="77777777" w:rsidR="00ED58D3" w:rsidRDefault="00A75C1E">
            <w:r>
              <w:t xml:space="preserve"> Grade level PLC’s will meet at least bi-monthly. Principal led multi-grade PLC’s will</w:t>
            </w:r>
            <w:r>
              <w:t xml:space="preserve"> meet once a month. These PLC’s will have a focus on writing instruction and data behind all literacy instruction.</w:t>
            </w:r>
          </w:p>
          <w:p w14:paraId="56413620" w14:textId="77777777" w:rsidR="00ED58D3" w:rsidRDefault="00ED58D3"/>
          <w:p w14:paraId="1EC655C0" w14:textId="77777777" w:rsidR="00ED58D3" w:rsidRDefault="00A75C1E">
            <w:r>
              <w:t xml:space="preserve"> A kindergarten teacher will focus on literacy strands </w:t>
            </w:r>
            <w:r>
              <w:lastRenderedPageBreak/>
              <w:t xml:space="preserve">in individual professional development at National </w:t>
            </w:r>
            <w:proofErr w:type="gramStart"/>
            <w:r>
              <w:t>Blue Ribbon</w:t>
            </w:r>
            <w:proofErr w:type="gramEnd"/>
            <w:r>
              <w:t xml:space="preserve"> Conference. Another Ki</w:t>
            </w:r>
            <w:r>
              <w:t xml:space="preserve">ndergarten teacher will be active in the Kentucky Reading Project. </w:t>
            </w:r>
          </w:p>
          <w:p w14:paraId="39D45E59" w14:textId="77777777" w:rsidR="00ED58D3" w:rsidRDefault="00ED58D3"/>
          <w:p w14:paraId="23344DA2" w14:textId="77777777" w:rsidR="00ED58D3" w:rsidRDefault="00A75C1E">
            <w:r>
              <w:t>At teacher request, teachers will be able to visit other schools to get ideas in writing. Some teachers plan to participate in a PETLL visit at Allen Elementary. A Kindergarten teacher pl</w:t>
            </w:r>
            <w:r>
              <w:t xml:space="preserve">ans to visit Montessori style classrooms in multiple schools. </w:t>
            </w:r>
          </w:p>
          <w:p w14:paraId="2892F667" w14:textId="77777777" w:rsidR="00ED58D3" w:rsidRDefault="00ED58D3"/>
          <w:p w14:paraId="290389E3" w14:textId="77777777" w:rsidR="00ED58D3" w:rsidRDefault="00A75C1E">
            <w:r>
              <w:t xml:space="preserve">Teachers will acquire reading and writing </w:t>
            </w:r>
            <w:r>
              <w:lastRenderedPageBreak/>
              <w:t xml:space="preserve">materials. See purchasing plan below. </w:t>
            </w:r>
          </w:p>
        </w:tc>
        <w:tc>
          <w:tcPr>
            <w:tcW w:w="3595" w:type="dxa"/>
            <w:vMerge/>
            <w:tcBorders>
              <w:bottom w:val="single" w:sz="4" w:space="0" w:color="000000"/>
            </w:tcBorders>
          </w:tcPr>
          <w:p w14:paraId="07CD9359" w14:textId="77777777" w:rsidR="00ED58D3" w:rsidRDefault="00ED58D3">
            <w:pPr>
              <w:widowControl w:val="0"/>
              <w:pBdr>
                <w:top w:val="nil"/>
                <w:left w:val="nil"/>
                <w:bottom w:val="nil"/>
                <w:right w:val="nil"/>
                <w:between w:val="nil"/>
              </w:pBdr>
              <w:spacing w:line="276" w:lineRule="auto"/>
            </w:pPr>
          </w:p>
        </w:tc>
      </w:tr>
    </w:tbl>
    <w:p w14:paraId="64764067" w14:textId="77777777" w:rsidR="00ED58D3" w:rsidRDefault="00ED58D3"/>
    <w:p w14:paraId="2791A0F0" w14:textId="77777777" w:rsidR="00ED58D3" w:rsidRDefault="00ED58D3"/>
    <w:p w14:paraId="18D7D1C9" w14:textId="77777777" w:rsidR="00ED58D3" w:rsidRDefault="00A75C1E">
      <w:pPr>
        <w:rPr>
          <w:b/>
          <w:u w:val="single"/>
        </w:rPr>
      </w:pPr>
      <w:r>
        <w:rPr>
          <w:b/>
          <w:u w:val="single"/>
        </w:rPr>
        <w:t>Purchasing Plan</w:t>
      </w:r>
    </w:p>
    <w:p w14:paraId="2A97C125" w14:textId="77777777" w:rsidR="00ED58D3" w:rsidRDefault="00ED58D3">
      <w:pPr>
        <w:rPr>
          <w:highlight w:val="yellow"/>
        </w:rPr>
      </w:pPr>
    </w:p>
    <w:p w14:paraId="1AD979F7" w14:textId="77777777" w:rsidR="00ED58D3" w:rsidRDefault="00A75C1E">
      <w:r>
        <w:t xml:space="preserve">$840 - Keyboarding Program to aide in computer-based formal writing. </w:t>
      </w:r>
    </w:p>
    <w:p w14:paraId="2428C42F" w14:textId="77777777" w:rsidR="00ED58D3" w:rsidRDefault="00A75C1E">
      <w:r>
        <w:t xml:space="preserve">$2100 - $300 per grade level to order grade level specific writing materials (journals, writing process folders, strategy books, </w:t>
      </w:r>
      <w:proofErr w:type="spellStart"/>
      <w:r>
        <w:t>etc</w:t>
      </w:r>
      <w:proofErr w:type="spellEnd"/>
      <w:r>
        <w:t>)</w:t>
      </w:r>
    </w:p>
    <w:p w14:paraId="4AFB158B" w14:textId="77777777" w:rsidR="00ED58D3" w:rsidRDefault="00A75C1E">
      <w:r>
        <w:t>$200 - Resource rooms for writing materials</w:t>
      </w:r>
    </w:p>
    <w:p w14:paraId="1D764080" w14:textId="77777777" w:rsidR="00ED58D3" w:rsidRDefault="00A75C1E">
      <w:r>
        <w:t>$450 - C</w:t>
      </w:r>
      <w:r>
        <w:t>ommon Core Companion: The Standards Decoded, High-Impact Writing Clinics - 1 per grade level - 14 books @ $30</w:t>
      </w:r>
    </w:p>
    <w:p w14:paraId="5C954185" w14:textId="77777777" w:rsidR="00ED58D3" w:rsidRDefault="00A75C1E">
      <w:r>
        <w:t xml:space="preserve">$300 - Four-Square Writing Method Books - 17 books </w:t>
      </w:r>
    </w:p>
    <w:p w14:paraId="64FF6F0B" w14:textId="77777777" w:rsidR="00ED58D3" w:rsidRDefault="00A75C1E">
      <w:r>
        <w:t>$1,000- ACT Team Travel and Substitutes</w:t>
      </w:r>
    </w:p>
    <w:p w14:paraId="3653F022" w14:textId="77777777" w:rsidR="00ED58D3" w:rsidRDefault="00A75C1E">
      <w:r>
        <w:t>$110 - Overages in above budget</w:t>
      </w:r>
    </w:p>
    <w:p w14:paraId="4D301AD9" w14:textId="77777777" w:rsidR="00ED58D3" w:rsidRDefault="00ED58D3"/>
    <w:p w14:paraId="4982D025" w14:textId="77777777" w:rsidR="00ED58D3" w:rsidRDefault="00ED58D3"/>
    <w:p w14:paraId="3A780910" w14:textId="77777777" w:rsidR="00ED58D3" w:rsidRDefault="00A75C1E">
      <w:pPr>
        <w:rPr>
          <w:b/>
          <w:u w:val="single"/>
        </w:rPr>
      </w:pPr>
      <w:r>
        <w:rPr>
          <w:b/>
          <w:u w:val="single"/>
        </w:rPr>
        <w:t>Actual Cost</w:t>
      </w:r>
    </w:p>
    <w:p w14:paraId="2A007AB0" w14:textId="77777777" w:rsidR="00ED58D3" w:rsidRDefault="00A75C1E">
      <w:r>
        <w:t>Common C</w:t>
      </w:r>
      <w:r>
        <w:t>ore Books - $398.88</w:t>
      </w:r>
    </w:p>
    <w:p w14:paraId="6F6F7D8A" w14:textId="77777777" w:rsidR="00ED58D3" w:rsidRDefault="00A75C1E">
      <w:r>
        <w:t>Four Square Books - $263.71</w:t>
      </w:r>
    </w:p>
    <w:p w14:paraId="232FFB8A" w14:textId="77777777" w:rsidR="00ED58D3" w:rsidRDefault="00A75C1E">
      <w:r>
        <w:lastRenderedPageBreak/>
        <w:t>Typing Program - $574.95</w:t>
      </w:r>
    </w:p>
    <w:p w14:paraId="02D19FE6" w14:textId="77777777" w:rsidR="00ED58D3" w:rsidRDefault="00A75C1E">
      <w:r>
        <w:t>Keyboard Covers - 262.45</w:t>
      </w:r>
    </w:p>
    <w:p w14:paraId="3EEFE7F6" w14:textId="77777777" w:rsidR="00ED58D3" w:rsidRDefault="00A75C1E">
      <w:r>
        <w:t xml:space="preserve">Grade Level Resources - </w:t>
      </w:r>
    </w:p>
    <w:p w14:paraId="14A2A50F" w14:textId="77777777" w:rsidR="00ED58D3" w:rsidRDefault="00A75C1E">
      <w:pPr>
        <w:numPr>
          <w:ilvl w:val="0"/>
          <w:numId w:val="2"/>
        </w:numPr>
      </w:pPr>
      <w:r>
        <w:t>Amazon - 844.22</w:t>
      </w:r>
    </w:p>
    <w:p w14:paraId="3EA2EF04" w14:textId="77777777" w:rsidR="00ED58D3" w:rsidRDefault="00A75C1E">
      <w:pPr>
        <w:numPr>
          <w:ilvl w:val="0"/>
          <w:numId w:val="2"/>
        </w:numPr>
      </w:pPr>
      <w:r>
        <w:t>School Specialty - 335.46</w:t>
      </w:r>
    </w:p>
    <w:p w14:paraId="0BB839A2" w14:textId="77777777" w:rsidR="00ED58D3" w:rsidRDefault="00A75C1E">
      <w:pPr>
        <w:numPr>
          <w:ilvl w:val="0"/>
          <w:numId w:val="2"/>
        </w:numPr>
      </w:pPr>
      <w:r>
        <w:t>Literacy Resources - 161.98</w:t>
      </w:r>
    </w:p>
    <w:p w14:paraId="3587B2C6" w14:textId="77777777" w:rsidR="00ED58D3" w:rsidRDefault="00A75C1E">
      <w:pPr>
        <w:numPr>
          <w:ilvl w:val="0"/>
          <w:numId w:val="2"/>
        </w:numPr>
      </w:pPr>
      <w:r>
        <w:t>Really Good Stuff - 166.92</w:t>
      </w:r>
    </w:p>
    <w:p w14:paraId="31E2353D" w14:textId="77777777" w:rsidR="00ED58D3" w:rsidRDefault="00A75C1E">
      <w:pPr>
        <w:numPr>
          <w:ilvl w:val="0"/>
          <w:numId w:val="2"/>
        </w:numPr>
      </w:pPr>
      <w:proofErr w:type="spellStart"/>
      <w:r>
        <w:t>Osmo</w:t>
      </w:r>
      <w:proofErr w:type="spellEnd"/>
      <w:r>
        <w:t xml:space="preserve"> - 15.99</w:t>
      </w:r>
    </w:p>
    <w:p w14:paraId="4E2140CC" w14:textId="77777777" w:rsidR="00ED58D3" w:rsidRDefault="00A75C1E">
      <w:pPr>
        <w:numPr>
          <w:ilvl w:val="0"/>
          <w:numId w:val="2"/>
        </w:numPr>
      </w:pPr>
      <w:r>
        <w:t xml:space="preserve">Carson </w:t>
      </w:r>
      <w:proofErr w:type="spellStart"/>
      <w:r>
        <w:t>Dellosa</w:t>
      </w:r>
      <w:proofErr w:type="spellEnd"/>
      <w:r>
        <w:t xml:space="preserve"> - 36.91</w:t>
      </w:r>
    </w:p>
    <w:p w14:paraId="6CBFB191" w14:textId="77777777" w:rsidR="00ED58D3" w:rsidRDefault="00A75C1E">
      <w:pPr>
        <w:numPr>
          <w:ilvl w:val="0"/>
          <w:numId w:val="2"/>
        </w:numPr>
      </w:pPr>
      <w:r>
        <w:t>Lakeshore - 49.99</w:t>
      </w:r>
    </w:p>
    <w:p w14:paraId="110BF141" w14:textId="77777777" w:rsidR="00ED58D3" w:rsidRDefault="00A75C1E">
      <w:pPr>
        <w:numPr>
          <w:ilvl w:val="0"/>
          <w:numId w:val="2"/>
        </w:numPr>
      </w:pPr>
      <w:r>
        <w:t>Office Depot - 31.20</w:t>
      </w:r>
    </w:p>
    <w:p w14:paraId="1232FB8B" w14:textId="77777777" w:rsidR="00ED58D3" w:rsidRDefault="00A75C1E">
      <w:r>
        <w:t>Travel/Sub Reimbursements - ?</w:t>
      </w:r>
    </w:p>
    <w:p w14:paraId="48E8CE6D" w14:textId="77777777" w:rsidR="00ED58D3" w:rsidRDefault="00ED58D3"/>
    <w:p w14:paraId="2643F7A7" w14:textId="77777777" w:rsidR="00ED58D3" w:rsidRDefault="00A75C1E">
      <w:pPr>
        <w:rPr>
          <w:b/>
        </w:rPr>
      </w:pPr>
      <w:r>
        <w:rPr>
          <w:b/>
        </w:rPr>
        <w:t>Total Spent (Without travel/sub costs) - $</w:t>
      </w:r>
      <w:r>
        <w:rPr>
          <w:b/>
          <w:highlight w:val="white"/>
        </w:rPr>
        <w:t>3142.66</w:t>
      </w:r>
    </w:p>
    <w:p w14:paraId="18808328" w14:textId="77777777" w:rsidR="00ED58D3" w:rsidRDefault="00ED58D3"/>
    <w:sectPr w:rsidR="00ED58D3">
      <w:headerReference w:type="even" r:id="rId11"/>
      <w:headerReference w:type="default" r:id="rId12"/>
      <w:footerReference w:type="even" r:id="rId13"/>
      <w:footerReference w:type="default" r:id="rId14"/>
      <w:headerReference w:type="first" r:id="rId15"/>
      <w:footerReference w:type="first" r:id="rId16"/>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400D1" w14:textId="77777777" w:rsidR="00A75C1E" w:rsidRDefault="00A75C1E">
      <w:r>
        <w:separator/>
      </w:r>
    </w:p>
  </w:endnote>
  <w:endnote w:type="continuationSeparator" w:id="0">
    <w:p w14:paraId="3F88481E" w14:textId="77777777" w:rsidR="00A75C1E" w:rsidRDefault="00A7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DBA2D" w14:textId="77777777" w:rsidR="00ED58D3" w:rsidRDefault="00ED58D3">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16A86" w14:textId="77777777" w:rsidR="00ED58D3" w:rsidRDefault="00ED58D3">
    <w:pPr>
      <w:pBdr>
        <w:top w:val="nil"/>
        <w:left w:val="nil"/>
        <w:bottom w:val="nil"/>
        <w:right w:val="nil"/>
        <w:between w:val="nil"/>
      </w:pBdr>
      <w:tabs>
        <w:tab w:val="center" w:pos="4680"/>
        <w:tab w:val="right" w:pos="9360"/>
      </w:tabs>
      <w:rPr>
        <w:color w:val="000000"/>
      </w:rPr>
    </w:pPr>
  </w:p>
  <w:p w14:paraId="28507D09" w14:textId="77777777" w:rsidR="00ED58D3" w:rsidRDefault="00A75C1E">
    <w:pPr>
      <w:pBdr>
        <w:top w:val="nil"/>
        <w:left w:val="nil"/>
        <w:bottom w:val="nil"/>
        <w:right w:val="nil"/>
        <w:between w:val="nil"/>
      </w:pBdr>
      <w:tabs>
        <w:tab w:val="center" w:pos="4680"/>
        <w:tab w:val="right" w:pos="9360"/>
      </w:tabs>
      <w:rPr>
        <w:i/>
        <w:color w:val="000000"/>
      </w:rPr>
    </w:pPr>
    <w:r>
      <w:rPr>
        <w:i/>
        <w:color w:val="000000"/>
      </w:rPr>
      <w:t>2017 KVEC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2CE8" w14:textId="77777777" w:rsidR="00ED58D3" w:rsidRDefault="00ED58D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22A70" w14:textId="77777777" w:rsidR="00A75C1E" w:rsidRDefault="00A75C1E">
      <w:r>
        <w:separator/>
      </w:r>
    </w:p>
  </w:footnote>
  <w:footnote w:type="continuationSeparator" w:id="0">
    <w:p w14:paraId="652239BF" w14:textId="77777777" w:rsidR="00A75C1E" w:rsidRDefault="00A75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2FA7D" w14:textId="77777777" w:rsidR="00ED58D3" w:rsidRDefault="00ED58D3">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13E9A" w14:textId="77777777" w:rsidR="00ED58D3" w:rsidRDefault="00A75C1E">
    <w:pPr>
      <w:pBdr>
        <w:top w:val="nil"/>
        <w:left w:val="nil"/>
        <w:bottom w:val="nil"/>
        <w:right w:val="nil"/>
        <w:between w:val="nil"/>
      </w:pBdr>
      <w:tabs>
        <w:tab w:val="center" w:pos="4680"/>
        <w:tab w:val="right" w:pos="9360"/>
      </w:tabs>
      <w:rPr>
        <w:i/>
        <w:color w:val="000000"/>
      </w:rPr>
    </w:pPr>
    <w:r>
      <w:rPr>
        <w:i/>
        <w:color w:val="000000"/>
      </w:rPr>
      <w:t xml:space="preserve">ACT School Theory of Action </w:t>
    </w:r>
    <w:r>
      <w:rPr>
        <w:i/>
      </w:rPr>
      <w:t>Paintsville Elementary</w:t>
    </w:r>
  </w:p>
  <w:p w14:paraId="31CB5E35" w14:textId="77777777" w:rsidR="00ED58D3" w:rsidRDefault="00ED58D3">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92A0A" w14:textId="77777777" w:rsidR="00ED58D3" w:rsidRDefault="00ED58D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56354"/>
    <w:multiLevelType w:val="multilevel"/>
    <w:tmpl w:val="9A6A6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566D33"/>
    <w:multiLevelType w:val="multilevel"/>
    <w:tmpl w:val="306289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D3"/>
    <w:rsid w:val="00175F2F"/>
    <w:rsid w:val="00A75C1E"/>
    <w:rsid w:val="00ED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34C616"/>
  <w15:docId w15:val="{4E7804B7-4EB4-2249-9302-0545DABA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1191</Words>
  <Characters>6791</Characters>
  <Application>Microsoft Office Word</Application>
  <DocSecurity>0</DocSecurity>
  <Lines>56</Lines>
  <Paragraphs>15</Paragraphs>
  <ScaleCrop>false</ScaleCrop>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Carroll, Jennifer L</cp:lastModifiedBy>
  <cp:revision>2</cp:revision>
  <dcterms:created xsi:type="dcterms:W3CDTF">2019-10-09T16:19:00Z</dcterms:created>
  <dcterms:modified xsi:type="dcterms:W3CDTF">2019-10-09T16:19:00Z</dcterms:modified>
</cp:coreProperties>
</file>